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8048B2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153065DB" w:rsidR="00356B4F" w:rsidRPr="008048B2" w:rsidRDefault="00EB5971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23</w:t>
            </w:r>
            <w:r w:rsidR="00356B4F"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polnásnyék Község Önkormányzat</w:t>
            </w:r>
            <w:r w:rsidR="00F10AF4"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a</w:t>
            </w:r>
            <w:r w:rsidR="00356B4F"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2D742569" w14:textId="77777777" w:rsidR="00356B4F" w:rsidRPr="008048B2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2475. Kápolnásnyék, Fő utca 28.</w:t>
            </w:r>
          </w:p>
          <w:p w14:paraId="5BCBFF6A" w14:textId="77777777" w:rsidR="00356B4F" w:rsidRPr="008048B2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Tel.: 22/574-100, Fax: 22/368-018</w:t>
            </w:r>
          </w:p>
          <w:p w14:paraId="3C127048" w14:textId="77777777" w:rsidR="00356B4F" w:rsidRPr="008048B2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8048B2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8048B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1FA3A560" w:rsidR="00313568" w:rsidRPr="008048B2" w:rsidRDefault="00B116CB" w:rsidP="00B116CB">
      <w:pPr>
        <w:pStyle w:val="Alcm"/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 xml:space="preserve">Ügyiratszám: </w:t>
      </w:r>
    </w:p>
    <w:p w14:paraId="4A28A741" w14:textId="77777777" w:rsidR="00313568" w:rsidRPr="008048B2" w:rsidRDefault="0031356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14A54AD9" w14:textId="1A8F2FA7" w:rsidR="00EF4BE8" w:rsidRPr="008048B2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DÖNTÉSELŐKÉSZÍTŐ</w:t>
      </w:r>
    </w:p>
    <w:p w14:paraId="0223D0F8" w14:textId="4BB60D05" w:rsidR="0015127A" w:rsidRPr="008048B2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IRAT</w:t>
      </w:r>
    </w:p>
    <w:p w14:paraId="24351F54" w14:textId="77777777" w:rsidR="00EF4BE8" w:rsidRPr="008048B2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24FFB1B5" w14:textId="77777777" w:rsidR="00EF4BE8" w:rsidRPr="008048B2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0513E94" w14:textId="77777777" w:rsidR="00EF4BE8" w:rsidRPr="008048B2" w:rsidRDefault="00EF4BE8" w:rsidP="00EF4BE8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5A704A9" w14:textId="77777777" w:rsidR="0015127A" w:rsidRPr="008048B2" w:rsidRDefault="00356B4F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Kápolnásnyék</w:t>
      </w:r>
      <w:r w:rsidR="00EF4BE8" w:rsidRPr="008048B2">
        <w:rPr>
          <w:rFonts w:ascii="Times New Roman" w:hAnsi="Times New Roman"/>
          <w:b/>
          <w:sz w:val="22"/>
          <w:szCs w:val="22"/>
        </w:rPr>
        <w:t xml:space="preserve"> Község Önkormán</w:t>
      </w:r>
      <w:r w:rsidR="006A189D" w:rsidRPr="008048B2">
        <w:rPr>
          <w:rFonts w:ascii="Times New Roman" w:hAnsi="Times New Roman"/>
          <w:b/>
          <w:sz w:val="22"/>
          <w:szCs w:val="22"/>
        </w:rPr>
        <w:t>yzat</w:t>
      </w:r>
      <w:r w:rsidR="00DF2736" w:rsidRPr="008048B2">
        <w:rPr>
          <w:rFonts w:ascii="Times New Roman" w:hAnsi="Times New Roman"/>
          <w:b/>
          <w:sz w:val="22"/>
          <w:szCs w:val="22"/>
        </w:rPr>
        <w:t xml:space="preserve"> </w:t>
      </w:r>
      <w:r w:rsidR="006A189D" w:rsidRPr="008048B2">
        <w:rPr>
          <w:rFonts w:ascii="Times New Roman" w:hAnsi="Times New Roman"/>
          <w:b/>
          <w:sz w:val="22"/>
          <w:szCs w:val="22"/>
        </w:rPr>
        <w:t>Képviselő-testületének</w:t>
      </w:r>
    </w:p>
    <w:p w14:paraId="794BA94A" w14:textId="77777777" w:rsidR="0015127A" w:rsidRPr="008048B2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hatáskörében eljáró</w:t>
      </w:r>
    </w:p>
    <w:p w14:paraId="5B615B38" w14:textId="77777777" w:rsidR="0015127A" w:rsidRPr="008048B2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47DA74BA" w14:textId="7F563CF4" w:rsidR="00EF4BE8" w:rsidRPr="008048B2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részére</w:t>
      </w:r>
    </w:p>
    <w:p w14:paraId="22BCEFEC" w14:textId="77777777" w:rsidR="00EF4BE8" w:rsidRPr="008048B2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454CE542" w14:textId="77777777" w:rsidR="00EF4BE8" w:rsidRPr="008048B2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71C90291" w14:textId="03D271FF" w:rsidR="00AC3830" w:rsidRPr="008048B2" w:rsidRDefault="00EF4BE8" w:rsidP="00E5535C">
      <w:pPr>
        <w:suppressAutoHyphens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8048B2">
        <w:rPr>
          <w:rFonts w:ascii="Times New Roman" w:hAnsi="Times New Roman"/>
          <w:sz w:val="22"/>
          <w:szCs w:val="22"/>
          <w:u w:val="single"/>
        </w:rPr>
        <w:t>Tárgy:</w:t>
      </w:r>
      <w:r w:rsidRPr="008048B2">
        <w:rPr>
          <w:rFonts w:ascii="Times New Roman" w:hAnsi="Times New Roman"/>
          <w:sz w:val="22"/>
          <w:szCs w:val="22"/>
        </w:rPr>
        <w:tab/>
      </w:r>
      <w:bookmarkStart w:id="0" w:name="_Hlk12008753"/>
      <w:r w:rsidRPr="008048B2">
        <w:rPr>
          <w:rFonts w:ascii="Times New Roman" w:hAnsi="Times New Roman"/>
          <w:sz w:val="22"/>
          <w:szCs w:val="22"/>
        </w:rPr>
        <w:t xml:space="preserve"> </w:t>
      </w:r>
      <w:bookmarkEnd w:id="0"/>
      <w:r w:rsidR="00CE7E5D" w:rsidRPr="008048B2">
        <w:rPr>
          <w:rFonts w:ascii="Times New Roman" w:hAnsi="Times New Roman"/>
          <w:sz w:val="22"/>
          <w:szCs w:val="22"/>
          <w:lang w:eastAsia="hu-HU"/>
        </w:rPr>
        <w:t>Közbeszerzési terv módosítása</w:t>
      </w:r>
    </w:p>
    <w:p w14:paraId="47746BD0" w14:textId="77777777" w:rsidR="00AC3830" w:rsidRPr="008048B2" w:rsidRDefault="00AC3830" w:rsidP="00AC3830">
      <w:pPr>
        <w:jc w:val="both"/>
        <w:rPr>
          <w:rFonts w:ascii="Times New Roman" w:hAnsi="Times New Roman"/>
          <w:sz w:val="22"/>
          <w:szCs w:val="22"/>
        </w:rPr>
      </w:pPr>
    </w:p>
    <w:p w14:paraId="5DD363BD" w14:textId="5858DD35" w:rsidR="00EF4BE8" w:rsidRPr="008048B2" w:rsidRDefault="00EF4BE8" w:rsidP="00AC3830">
      <w:pPr>
        <w:ind w:left="851" w:hanging="851"/>
        <w:jc w:val="both"/>
        <w:rPr>
          <w:rFonts w:ascii="Times New Roman" w:hAnsi="Times New Roman"/>
          <w:sz w:val="22"/>
          <w:szCs w:val="22"/>
        </w:rPr>
      </w:pPr>
    </w:p>
    <w:p w14:paraId="456E8BB0" w14:textId="3F869420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  <w:u w:val="single"/>
        </w:rPr>
        <w:t>Készítette:</w:t>
      </w:r>
      <w:r w:rsidRPr="008048B2">
        <w:rPr>
          <w:rFonts w:ascii="Times New Roman" w:hAnsi="Times New Roman"/>
          <w:sz w:val="22"/>
          <w:szCs w:val="22"/>
        </w:rPr>
        <w:tab/>
      </w:r>
      <w:r w:rsidR="00CE7E5D" w:rsidRPr="008048B2">
        <w:rPr>
          <w:rFonts w:ascii="Times New Roman" w:hAnsi="Times New Roman"/>
          <w:sz w:val="22"/>
          <w:szCs w:val="22"/>
        </w:rPr>
        <w:t>dr. Kiszler Judit aljegyző</w:t>
      </w:r>
    </w:p>
    <w:p w14:paraId="3CF1B3AF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19CE6B8F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F0101B3" w14:textId="77777777" w:rsidR="00EF4BE8" w:rsidRPr="008048B2" w:rsidRDefault="00EF4BE8" w:rsidP="00EF4BE8">
      <w:pPr>
        <w:pStyle w:val="Szvegtrzs"/>
        <w:spacing w:after="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>Az előterjesztéssel kapcsolatos törvényességi észrevétel:</w:t>
      </w:r>
    </w:p>
    <w:p w14:paraId="04AB0513" w14:textId="77777777" w:rsidR="00EF4BE8" w:rsidRPr="008048B2" w:rsidRDefault="00EF4BE8" w:rsidP="00EF4BE8">
      <w:pPr>
        <w:rPr>
          <w:rFonts w:ascii="Times New Roman" w:hAnsi="Times New Roman"/>
          <w:sz w:val="22"/>
          <w:szCs w:val="22"/>
        </w:rPr>
      </w:pPr>
    </w:p>
    <w:p w14:paraId="2FEE6399" w14:textId="77777777" w:rsidR="00EF4BE8" w:rsidRPr="008048B2" w:rsidRDefault="00EF4BE8" w:rsidP="00EF4BE8">
      <w:pPr>
        <w:rPr>
          <w:rFonts w:ascii="Times New Roman" w:hAnsi="Times New Roman"/>
          <w:i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 xml:space="preserve">Rendelet </w:t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</w:p>
    <w:p w14:paraId="676FB92D" w14:textId="2F455D88" w:rsidR="00EF4BE8" w:rsidRPr="008048B2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Határozat</w:t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="00AC3830" w:rsidRPr="008048B2">
        <w:rPr>
          <w:rFonts w:ascii="Times New Roman" w:hAnsi="Times New Roman"/>
          <w:b/>
          <w:sz w:val="22"/>
          <w:szCs w:val="22"/>
        </w:rPr>
        <w:t>x</w:t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>normatív</w:t>
      </w:r>
    </w:p>
    <w:p w14:paraId="1379D754" w14:textId="2A3523D3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bCs/>
          <w:sz w:val="22"/>
          <w:szCs w:val="22"/>
        </w:rPr>
        <w:t>egyéb</w:t>
      </w:r>
    </w:p>
    <w:p w14:paraId="44466584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5BB1550A" w14:textId="104342E2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 xml:space="preserve">A döntéshez </w:t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bCs/>
          <w:sz w:val="22"/>
          <w:szCs w:val="22"/>
        </w:rPr>
        <w:t>egyszerű</w:t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</w:p>
    <w:p w14:paraId="3D18438A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  <w:t>minősített</w:t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  <w:t>többség szükséges.</w:t>
      </w:r>
    </w:p>
    <w:p w14:paraId="66E3D5FA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D94D7A6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221D07F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 xml:space="preserve">Az előterjesztés a kifüggesztési helyszínen </w:t>
      </w:r>
      <w:proofErr w:type="spellStart"/>
      <w:r w:rsidRPr="008048B2">
        <w:rPr>
          <w:rFonts w:ascii="Times New Roman" w:hAnsi="Times New Roman"/>
          <w:sz w:val="22"/>
          <w:szCs w:val="22"/>
        </w:rPr>
        <w:t>közzétehető</w:t>
      </w:r>
      <w:proofErr w:type="spellEnd"/>
      <w:r w:rsidRPr="008048B2">
        <w:rPr>
          <w:rFonts w:ascii="Times New Roman" w:hAnsi="Times New Roman"/>
          <w:sz w:val="22"/>
          <w:szCs w:val="22"/>
        </w:rPr>
        <w:t>:</w:t>
      </w:r>
    </w:p>
    <w:p w14:paraId="46488622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  <w:t>igen</w:t>
      </w:r>
      <w:r w:rsidRPr="008048B2">
        <w:rPr>
          <w:rFonts w:ascii="Times New Roman" w:hAnsi="Times New Roman"/>
          <w:sz w:val="22"/>
          <w:szCs w:val="22"/>
        </w:rPr>
        <w:tab/>
        <w:t>x</w:t>
      </w:r>
    </w:p>
    <w:p w14:paraId="674E92B4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  <w:t>nem</w:t>
      </w:r>
    </w:p>
    <w:p w14:paraId="4C5EE0C0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EE10C06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A97400F" w14:textId="13BB3740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8048B2">
        <w:rPr>
          <w:rFonts w:ascii="Times New Roman" w:hAnsi="Times New Roman"/>
          <w:bCs/>
          <w:sz w:val="22"/>
          <w:szCs w:val="22"/>
        </w:rPr>
        <w:t>Az előterjesztést nyílt ülésen kell tárgyalni.</w:t>
      </w:r>
      <w:r w:rsidRPr="008048B2">
        <w:rPr>
          <w:rFonts w:ascii="Times New Roman" w:hAnsi="Times New Roman"/>
          <w:bCs/>
          <w:sz w:val="22"/>
          <w:szCs w:val="22"/>
        </w:rPr>
        <w:tab/>
      </w:r>
      <w:r w:rsidRPr="008048B2">
        <w:rPr>
          <w:rFonts w:ascii="Times New Roman" w:hAnsi="Times New Roman"/>
          <w:bCs/>
          <w:sz w:val="22"/>
          <w:szCs w:val="22"/>
        </w:rPr>
        <w:tab/>
      </w:r>
    </w:p>
    <w:p w14:paraId="27815F49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</w:p>
    <w:p w14:paraId="29313336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>Az előterjesztést zárt ülésen kell tárgyalni.</w:t>
      </w:r>
    </w:p>
    <w:p w14:paraId="5F86613A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14CDA44" w14:textId="77777777" w:rsidR="00EF4BE8" w:rsidRPr="008048B2" w:rsidRDefault="00EF4BE8" w:rsidP="00EF4BE8">
      <w:pPr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>Az előterjesztés zárt ülésen tárgyalható.</w:t>
      </w:r>
    </w:p>
    <w:p w14:paraId="3C5E47A2" w14:textId="77777777" w:rsidR="00EF4BE8" w:rsidRPr="008048B2" w:rsidRDefault="00EF4BE8" w:rsidP="00EF4BE8">
      <w:pPr>
        <w:jc w:val="both"/>
        <w:rPr>
          <w:rFonts w:ascii="Times New Roman" w:hAnsi="Times New Roman"/>
          <w:sz w:val="22"/>
          <w:szCs w:val="22"/>
        </w:rPr>
      </w:pPr>
    </w:p>
    <w:p w14:paraId="07EEDF08" w14:textId="77777777" w:rsidR="00700C87" w:rsidRPr="008048B2" w:rsidRDefault="00700C87">
      <w:pPr>
        <w:rPr>
          <w:rFonts w:ascii="Times New Roman" w:hAnsi="Times New Roman"/>
          <w:sz w:val="22"/>
          <w:szCs w:val="22"/>
        </w:rPr>
      </w:pPr>
    </w:p>
    <w:p w14:paraId="71EEECD3" w14:textId="77777777" w:rsidR="00EF4BE8" w:rsidRPr="008048B2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8048B2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8048B2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8048B2" w:rsidRDefault="00EF4BE8">
      <w:pPr>
        <w:rPr>
          <w:rFonts w:ascii="Times New Roman" w:hAnsi="Times New Roman"/>
          <w:sz w:val="22"/>
          <w:szCs w:val="22"/>
        </w:rPr>
      </w:pPr>
    </w:p>
    <w:p w14:paraId="51F01E9F" w14:textId="77777777" w:rsidR="00E5535C" w:rsidRPr="008048B2" w:rsidRDefault="00E5535C" w:rsidP="00425736">
      <w:pPr>
        <w:jc w:val="center"/>
        <w:rPr>
          <w:rFonts w:ascii="Times New Roman" w:hAnsi="Times New Roman"/>
          <w:sz w:val="22"/>
          <w:szCs w:val="22"/>
        </w:rPr>
      </w:pPr>
      <w:bookmarkStart w:id="1" w:name="_Toc72211094"/>
      <w:bookmarkStart w:id="2" w:name="_Toc72818956"/>
      <w:bookmarkStart w:id="3" w:name="_Toc72819103"/>
      <w:bookmarkStart w:id="4" w:name="_Toc76274961"/>
      <w:bookmarkStart w:id="5" w:name="_Toc79218447"/>
      <w:bookmarkStart w:id="6" w:name="_Toc84213482"/>
      <w:bookmarkStart w:id="7" w:name="_Toc204011908"/>
      <w:bookmarkStart w:id="8" w:name="_Toc204046050"/>
    </w:p>
    <w:p w14:paraId="69BDAAFD" w14:textId="40862705" w:rsidR="00E5535C" w:rsidRDefault="00E5535C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7593BC43" w14:textId="77777777" w:rsidR="00C06C61" w:rsidRPr="008048B2" w:rsidRDefault="00C06C61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2A64A323" w14:textId="1EA0B02D" w:rsidR="00CE7E5D" w:rsidRDefault="00CE7E5D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5936712" w14:textId="52E5E445" w:rsidR="00734E70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87316E3" w14:textId="5241EAEA" w:rsidR="00734E70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5DDF4CA" w14:textId="6F04C4CB" w:rsidR="00734E70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FE90AA" w14:textId="55009968" w:rsidR="00734E70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30A07D8" w14:textId="0EAEFDDC" w:rsidR="00734E70" w:rsidRPr="00CE7E5D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Tisztelt Polgármester Úr!</w:t>
      </w:r>
    </w:p>
    <w:p w14:paraId="6F620683" w14:textId="77777777" w:rsidR="00734E70" w:rsidRDefault="00734E70" w:rsidP="00CE7E5D">
      <w:pPr>
        <w:keepNext/>
        <w:tabs>
          <w:tab w:val="left" w:pos="708"/>
        </w:tabs>
        <w:suppressAutoHyphens w:val="0"/>
        <w:jc w:val="both"/>
        <w:outlineLvl w:val="0"/>
        <w:rPr>
          <w:rFonts w:ascii="Times New Roman" w:hAnsi="Times New Roman"/>
          <w:bCs/>
          <w:kern w:val="32"/>
          <w:sz w:val="22"/>
          <w:szCs w:val="22"/>
          <w:lang w:eastAsia="en-US"/>
        </w:rPr>
      </w:pPr>
    </w:p>
    <w:p w14:paraId="71D3473C" w14:textId="76B09571" w:rsidR="00CE7E5D" w:rsidRPr="00CE7E5D" w:rsidRDefault="00CE7E5D" w:rsidP="00CE7E5D">
      <w:pPr>
        <w:keepNext/>
        <w:tabs>
          <w:tab w:val="left" w:pos="708"/>
        </w:tabs>
        <w:suppressAutoHyphens w:val="0"/>
        <w:jc w:val="both"/>
        <w:outlineLvl w:val="0"/>
        <w:rPr>
          <w:rFonts w:ascii="Times New Roman" w:hAnsi="Times New Roman"/>
          <w:bCs/>
          <w:kern w:val="32"/>
          <w:sz w:val="22"/>
          <w:szCs w:val="22"/>
          <w:lang w:eastAsia="en-US"/>
        </w:rPr>
      </w:pP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A közbeszerzésekről szóló 2015.</w:t>
      </w:r>
      <w:r w:rsidRPr="00CE7E5D">
        <w:rPr>
          <w:rFonts w:ascii="Times New Roman" w:hAnsi="Times New Roman"/>
          <w:bCs/>
          <w:color w:val="222222"/>
          <w:kern w:val="32"/>
          <w:sz w:val="22"/>
          <w:szCs w:val="22"/>
          <w:lang w:eastAsia="en-US"/>
        </w:rPr>
        <w:t xml:space="preserve"> évi CXLIII. törvény </w:t>
      </w: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(továbbiakban: Kbt.)  42.§-a </w:t>
      </w:r>
      <w:proofErr w:type="spellStart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a</w:t>
      </w:r>
      <w:proofErr w:type="spellEnd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 következő rendelkezést írja elő:</w:t>
      </w:r>
    </w:p>
    <w:p w14:paraId="5160BA9D" w14:textId="77777777" w:rsidR="00CE7E5D" w:rsidRPr="00CE7E5D" w:rsidRDefault="00CE7E5D" w:rsidP="00CE7E5D">
      <w:pPr>
        <w:suppressAutoHyphens w:val="0"/>
        <w:ind w:firstLine="238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CE7E5D">
        <w:rPr>
          <w:rFonts w:ascii="Times New Roman" w:eastAsia="Calibri" w:hAnsi="Times New Roman"/>
          <w:b/>
          <w:bCs/>
          <w:color w:val="222222"/>
          <w:sz w:val="22"/>
          <w:szCs w:val="22"/>
          <w:lang w:eastAsia="hu-HU"/>
        </w:rPr>
        <w:t xml:space="preserve">42. § </w:t>
      </w:r>
      <w:r w:rsidRPr="00CE7E5D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(1) Az 5. § (1) bekezdésében meghatározott ajánlatkérők - a központi beszerző szervek kivételével - a költségvetési év elején, legkésőbb március 31. napjáig éves összesített közbeszerzési tervet (a továbbiakban: közbeszerzési terv) készítenek az adott évre tervezett közbeszerzéseikről. A közbeszerzési tervet az ajánlatkérő legalább öt évig megőrzi. A közbeszerzési terv nyilvános.</w:t>
      </w:r>
    </w:p>
    <w:p w14:paraId="06E3EF95" w14:textId="77777777" w:rsidR="00CE7E5D" w:rsidRPr="00CE7E5D" w:rsidRDefault="00CE7E5D" w:rsidP="00CE7E5D">
      <w:pPr>
        <w:suppressAutoHyphens w:val="0"/>
        <w:ind w:firstLine="238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CE7E5D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(2) A közbeszerzési terv elkészítése előtt az ajánlatkérő indíthat közbeszerzési eljárást, amelyet a tervben szintén megfelelően szerepeltetni kell.</w:t>
      </w:r>
    </w:p>
    <w:p w14:paraId="716AD2BC" w14:textId="77777777" w:rsidR="00CE7E5D" w:rsidRPr="00CE7E5D" w:rsidRDefault="00CE7E5D" w:rsidP="00CE7E5D">
      <w:pPr>
        <w:suppressAutoHyphens w:val="0"/>
        <w:ind w:firstLine="238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CE7E5D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14:paraId="2A236B90" w14:textId="77777777" w:rsidR="00CE7E5D" w:rsidRPr="00CE7E5D" w:rsidRDefault="00CE7E5D" w:rsidP="00CE7E5D">
      <w:pPr>
        <w:suppressAutoHyphens w:val="0"/>
        <w:ind w:firstLine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(4) Az ajánlatkérő köteles a Közbeszerzési Hatóság vagy a jogszabályban az ajánlatkérő ellenőrzésére feljogosított szerv kérésére a közbeszerzési tervét megküldeni.</w:t>
      </w:r>
    </w:p>
    <w:p w14:paraId="2BE23121" w14:textId="77777777" w:rsidR="00CE7E5D" w:rsidRPr="00CE7E5D" w:rsidRDefault="00CE7E5D" w:rsidP="00CE7E5D">
      <w:pPr>
        <w:suppressAutoHyphens w:val="0"/>
        <w:ind w:firstLine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(5) A közbeszerzési terv minimális adattartalmát e törvény felhatalmazása alapján alkotott jogszabály határozza meg.</w:t>
      </w:r>
    </w:p>
    <w:p w14:paraId="1F839336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43. § (1) Az ajánlatkérő köteles a Közbeszerzési Hatóság által működtetett nyilvános elektronikus szerződéstárban (a továbbiakban: </w:t>
      </w:r>
      <w:proofErr w:type="spell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CoRe</w:t>
      </w:r>
      <w:proofErr w:type="spellEnd"/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) – </w:t>
      </w:r>
      <w:proofErr w:type="gram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valamint</w:t>
      </w:r>
      <w:proofErr w:type="gramEnd"/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 ha az e törvény felhatalmazása alapján alkotott jogszabály azt egyes dokumentumok, adatok tekintetében kötelezővé teszi, az EKR-ben is – közzétenni</w:t>
      </w:r>
    </w:p>
    <w:p w14:paraId="15B33864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a) a 9. § (1) bekezdés </w:t>
      </w:r>
      <w:proofErr w:type="gram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h)–</w:t>
      </w:r>
      <w:proofErr w:type="gram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i) pontjának, valamint a 12. § (1)–(5) bekezdésének alkalmazásával megkötött szerződéseket a szerződéskötést, valamint a szerződésmódosításokat a szerződés módosítását követően haladéktalanul;</w:t>
      </w:r>
    </w:p>
    <w:p w14:paraId="17870988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b) a közbeszerzési eljárás alapján megkötött szerződéseket a szerződéskötést, valamint a szerződésmódosításokat a szerződés módosítását követően haladéktalanul;</w:t>
      </w:r>
    </w:p>
    <w:p w14:paraId="32855889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c) a szerződés teljesítésére vonatkozó következő adatokat:</w:t>
      </w:r>
    </w:p>
    <w:p w14:paraId="40A2471A" w14:textId="77777777" w:rsidR="00CE7E5D" w:rsidRPr="00CE7E5D" w:rsidRDefault="00CE7E5D" w:rsidP="00CE7E5D">
      <w:pPr>
        <w:suppressAutoHyphens w:val="0"/>
        <w:ind w:left="709"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ca</w:t>
      </w:r>
      <w:proofErr w:type="spell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) hivatkozást a közbeszerzési eljárást megindító hirdetményre (hirdetmény nélkül induló eljárások esetében felhívásra),</w:t>
      </w:r>
    </w:p>
    <w:p w14:paraId="2C8E874A" w14:textId="77777777" w:rsidR="00CE7E5D" w:rsidRPr="00CE7E5D" w:rsidRDefault="00CE7E5D" w:rsidP="00CE7E5D">
      <w:pPr>
        <w:suppressAutoHyphens w:val="0"/>
        <w:ind w:right="77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cb</w:t>
      </w:r>
      <w:proofErr w:type="spell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) a szerződő felek megnevezését,</w:t>
      </w:r>
    </w:p>
    <w:p w14:paraId="72E8E95D" w14:textId="77777777" w:rsidR="00CE7E5D" w:rsidRPr="00CE7E5D" w:rsidRDefault="00CE7E5D" w:rsidP="00CE7E5D">
      <w:pPr>
        <w:suppressAutoHyphens w:val="0"/>
        <w:ind w:right="77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cc) azt, hogy a teljesítés szerződésszerű volt-e,</w:t>
      </w:r>
    </w:p>
    <w:p w14:paraId="6C4D7990" w14:textId="77777777" w:rsidR="00CE7E5D" w:rsidRPr="00CE7E5D" w:rsidRDefault="00CE7E5D" w:rsidP="00CE7E5D">
      <w:pPr>
        <w:suppressAutoHyphens w:val="0"/>
        <w:ind w:right="77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cd) a szerződés teljesítésének az ajánlatkérő által elismert időpontját, valamint</w:t>
      </w:r>
    </w:p>
    <w:p w14:paraId="733D6EFD" w14:textId="77777777" w:rsidR="00CE7E5D" w:rsidRPr="00CE7E5D" w:rsidRDefault="00CE7E5D" w:rsidP="00CE7E5D">
      <w:pPr>
        <w:suppressAutoHyphens w:val="0"/>
        <w:ind w:left="709"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ce</w:t>
      </w:r>
      <w:proofErr w:type="spell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) az ellenszolgáltatás teljesítésének időpontját és a kifizetett ellenszolgáltatás értékét a szerződés mindegyik fél – támogatásból megvalósuló közbeszerzés esetén szállítói kifizetés során a kifizetésre köteles szervezet – által történt teljesítését követő harminc napon belül.</w:t>
      </w:r>
    </w:p>
    <w:p w14:paraId="16D7CC7C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(2) Az ajánlatkérő köteles az EKR-ben közzétenni</w:t>
      </w:r>
    </w:p>
    <w:p w14:paraId="6FCC6C2A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a) a közbeszerzési tervet, valamint annak módosítását az elfogadást követően haladéktalanul;</w:t>
      </w:r>
    </w:p>
    <w:p w14:paraId="105E6D2A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b) az előzetes vitarendezéssel kapcsolatos 80. § (2) bekezdése szerinti adatokat az előzetes vitarendezési kérelem kézhezvételét követően haladéktalanul;</w:t>
      </w:r>
    </w:p>
    <w:p w14:paraId="118E98F0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c) a részvételi jelentkezések és az ajánlatok elbírálásáról szóló </w:t>
      </w:r>
      <w:proofErr w:type="spell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összegezést</w:t>
      </w:r>
      <w:proofErr w:type="spell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, a részvételre jelentkezőknek vagy az ajánlattevőknek való megküldéssel egyidejűleg;</w:t>
      </w:r>
    </w:p>
    <w:p w14:paraId="268DD6E7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d) a 103. § (6) bekezdés és 115. § (7) bekezdés szerinti dokumentumokat.</w:t>
      </w:r>
    </w:p>
    <w:p w14:paraId="2A7A19BC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93A1585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(3) Az (</w:t>
      </w:r>
      <w:proofErr w:type="gram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1)–</w:t>
      </w:r>
      <w:proofErr w:type="gram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(2) bekezdés szerinti adatok közérdekből nyilvános adatok, azok nyilvánosságra hozatala üzleti titokra hivatkozással nem tagadható meg. Ettől eltérően amennyiben a felek az ajánlatot a szerződés mellékletévé teszik, az ajánlat nyilvánosságára a 44. § alkalmazandó.</w:t>
      </w:r>
    </w:p>
    <w:p w14:paraId="34584916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(4) A (2) bekezdés a) pontja szerinti közbeszerzési tervnek a tárgyévet követő évre vonatkozó közbeszerzési terv EKR-ben történő közzétételéig kell elérhetőnek lennie.</w:t>
      </w:r>
    </w:p>
    <w:p w14:paraId="39F8AC8E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(5) A (2) bekezdés </w:t>
      </w:r>
      <w:proofErr w:type="gram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b)–</w:t>
      </w:r>
      <w:proofErr w:type="gram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c) pontja szerinti adatokat, információt, dokumentumot legalább a 46. § (2) bekezdésében meghatározott időtartamra kell elérhetővé tenni.</w:t>
      </w:r>
    </w:p>
    <w:p w14:paraId="14009C14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(6) Az (1) bekezdés </w:t>
      </w:r>
      <w:proofErr w:type="gram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a)–</w:t>
      </w:r>
      <w:proofErr w:type="gram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b) pontja szerinti szerződéseket legalább a teljesítéstől számított öt évig kell elérhetővé tenni.</w:t>
      </w:r>
    </w:p>
    <w:p w14:paraId="76707298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(7) Az (1) bekezdés c) pontja szerinti tájékoztatást az egy évnél hosszabb vagy határozatlan időre kötött szerződés esetében a szerződés megkötésétől számítva évenként kell aktualizálni.</w:t>
      </w:r>
    </w:p>
    <w:p w14:paraId="52E92E6C" w14:textId="77777777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56A6D327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A Kbt. értelmében tehát minden közbeszerzési ajánlatkérőnek (így önkormányzatunknak is) a költségvetési év elején, lehetőség szerint március 31-ig éves összesített közbeszerzési tervet (továbbiakban: közbeszerzési terv) kell készíteni az adott évre tervezett közbeszerzésekről. A közbeszerzési tervet az ajánlatkérőnek legalább öt évig meg kell őriznie. A közbeszerzési terv nyilvános.</w:t>
      </w:r>
    </w:p>
    <w:p w14:paraId="58FF6AEA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9B5747D" w14:textId="77777777" w:rsidR="00CE7E5D" w:rsidRPr="00CE7E5D" w:rsidRDefault="00CE7E5D" w:rsidP="00CE7E5D">
      <w:pPr>
        <w:keepNext/>
        <w:tabs>
          <w:tab w:val="left" w:pos="708"/>
        </w:tabs>
        <w:suppressAutoHyphens w:val="0"/>
        <w:jc w:val="both"/>
        <w:outlineLvl w:val="0"/>
        <w:rPr>
          <w:rFonts w:ascii="Times New Roman" w:hAnsi="Times New Roman"/>
          <w:bCs/>
          <w:kern w:val="32"/>
          <w:sz w:val="22"/>
          <w:szCs w:val="22"/>
          <w:lang w:eastAsia="en-US"/>
        </w:rPr>
      </w:pP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Magyarország 2020. évi központi költségvetéséről szóló 2019. évi LXXI. törvény 70.§-</w:t>
      </w:r>
      <w:proofErr w:type="spellStart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ában</w:t>
      </w:r>
      <w:proofErr w:type="spellEnd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 foglalt értékhatárok tekintetében az Önkormányzatoknak közbeszerzési eljárást kell lefolytatni, tehát a 2020. évi közbeszerzési tervben szükséges szerepeltetni az értékhatáron felüli beruházásokat.</w:t>
      </w:r>
    </w:p>
    <w:p w14:paraId="2142C551" w14:textId="77777777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1998691A" w14:textId="77777777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hu-HU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Magyarország 2020. évi központi költségvetéséről 2019. évi LXXI. törvény alapján:</w:t>
      </w:r>
    </w:p>
    <w:p w14:paraId="0704D886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70. § (1) A közbeszerzésekről szóló 2015. évi CXLIII. törvény 15. § (1) bekezdés b) pontja szerinti nemzeti közbeszerzési értékhatár – kivéve a közszolgáltatói szerződésekre vonatkozó értékhatárt – 2020. január 1-jétől 2020. december 31-éig</w:t>
      </w:r>
    </w:p>
    <w:p w14:paraId="5FF34A7E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a) árubeszerzés esetében 15,0 millió forint,</w:t>
      </w:r>
    </w:p>
    <w:p w14:paraId="137DBE5C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b) építési beruházás esetében 50,0 millió forint,</w:t>
      </w:r>
    </w:p>
    <w:p w14:paraId="59FC8931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c) építési koncesszió esetében 100,0 millió forint,</w:t>
      </w:r>
    </w:p>
    <w:p w14:paraId="4827F85D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d) szolgáltatás megrendelése esetében 15,0 millió forint,</w:t>
      </w:r>
    </w:p>
    <w:p w14:paraId="406FE047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e) szolgáltatási koncesszió esetében 30,0 millió forint.</w:t>
      </w:r>
    </w:p>
    <w:p w14:paraId="1EFBCB21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(2) Az (1) bekezdéstől eltérően a közszolgáltatói szerződésekre vonatkozó nemzeti közbeszerzési értékhatár 2020. január 1-jétől 2020. december 31-éig</w:t>
      </w:r>
    </w:p>
    <w:p w14:paraId="3CAC6178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a) árubeszerzés esetében 50,0 millió forint,</w:t>
      </w:r>
    </w:p>
    <w:p w14:paraId="3C240013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b) építési beruházás esetében 100,0 millió forint,</w:t>
      </w:r>
    </w:p>
    <w:p w14:paraId="4C23BDAE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c) szolgáltatás megrendelése esetében 50,0 millió forint,</w:t>
      </w:r>
    </w:p>
    <w:p w14:paraId="1230A1D1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d) építési koncesszió esetében 200,0 millió forint,</w:t>
      </w:r>
    </w:p>
    <w:p w14:paraId="6EBC8E16" w14:textId="77777777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e) szolgáltatási koncesszió esetében 100,0 millió forint.</w:t>
      </w:r>
    </w:p>
    <w:p w14:paraId="52A3E6EA" w14:textId="77777777" w:rsidR="00CE7E5D" w:rsidRPr="00CE7E5D" w:rsidRDefault="00CE7E5D" w:rsidP="00CE7E5D">
      <w:pPr>
        <w:suppressAutoHyphens w:val="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74DE81D6" w14:textId="4C0EC038" w:rsidR="00CE7E5D" w:rsidRPr="008048B2" w:rsidRDefault="00EB386A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Kápolnásnyék Község Önkormányzat Képviselő-testülete 29/2020. (III. 23.) határozatával döntött az éves összesített közbeszerzési terv elfogadásáról. Ebben a </w:t>
      </w:r>
      <w:r w:rsidR="00CE7E5D"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„Közétkeztetés biztosítása és az azt kiszolgáló konyha felújítása Kápolnásnyéken” 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>tárgyú</w:t>
      </w:r>
      <w:r w:rsidR="00CE7E5D"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 közbeszerzési eljár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>ás került feltüntetésre.</w:t>
      </w:r>
    </w:p>
    <w:p w14:paraId="6CF10A18" w14:textId="761D2E2E" w:rsidR="00EB386A" w:rsidRPr="008048B2" w:rsidRDefault="00EB386A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8819777" w14:textId="303D7A34" w:rsidR="00EB386A" w:rsidRPr="008048B2" w:rsidRDefault="00EB386A" w:rsidP="00EB386A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2020.04.30-án értesültünk arról, hogy 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>a Bölcsődei férőhelyek kialakítása, bővítése c. felhívására benyújtott, TOP-1.4.1-19-FE1-2019-00009 azonosítószámmal nyilvántartott támogatási kérelm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ünket 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>Pénzügyminisztérium Regionális Fejlesztési Programok Végrehajtásáért Felelős Helyettes Államtitkárság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>vezetője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 371 238 </w:t>
      </w:r>
      <w:proofErr w:type="gramStart"/>
      <w:r w:rsidRPr="008048B2">
        <w:rPr>
          <w:rFonts w:ascii="Times New Roman" w:eastAsia="Calibri" w:hAnsi="Times New Roman"/>
          <w:sz w:val="22"/>
          <w:szCs w:val="22"/>
          <w:lang w:eastAsia="en-US"/>
        </w:rPr>
        <w:t>241  Ft</w:t>
      </w:r>
      <w:proofErr w:type="gramEnd"/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 összegű támogatásra érdemesnek ítélte. </w:t>
      </w:r>
    </w:p>
    <w:p w14:paraId="4185E5CC" w14:textId="4DF057E3" w:rsidR="00EB386A" w:rsidRPr="00CE7E5D" w:rsidRDefault="00EB386A" w:rsidP="00EB386A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A </w:t>
      </w:r>
      <w:r w:rsidR="008048B2" w:rsidRPr="008048B2">
        <w:rPr>
          <w:rFonts w:ascii="Times New Roman" w:eastAsia="Calibri" w:hAnsi="Times New Roman"/>
          <w:sz w:val="22"/>
          <w:szCs w:val="22"/>
          <w:lang w:eastAsia="en-US"/>
        </w:rPr>
        <w:t>projektnek mind az építési beruházás, mind az árubeszerzés része a Kbt. hatálya alá tartozik, így e tárgyakban két további eljárást kell a közbeszerzési tervben feltüntetni.</w:t>
      </w:r>
    </w:p>
    <w:p w14:paraId="1727DEFD" w14:textId="77777777" w:rsidR="00CE7E5D" w:rsidRPr="00CE7E5D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186E757" w14:textId="77777777" w:rsidR="00CE7E5D" w:rsidRPr="00CE7E5D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Év közben lehetőség van a közbeszerzési tervben nem szereplő eljárások lefolytatására, ebben az esetben az elfogadott közbeszerzési tervet módosítani szükséges.</w:t>
      </w:r>
    </w:p>
    <w:p w14:paraId="5F65DB7B" w14:textId="77777777" w:rsidR="00CE7E5D" w:rsidRPr="00CE7E5D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1A1E6A8" w14:textId="77777777" w:rsidR="00CE7E5D" w:rsidRPr="00CE7E5D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Az önkormányzatnak a közbeszerzési tervet a nyilvánosság biztosítása érdekében a honlapján közzé kell tennie. A tervnek a tárgyévet követő évre vonatkozó közbeszerzési terv honlapon történő közzétételéig kell elérhetőnek lennie. </w:t>
      </w:r>
    </w:p>
    <w:p w14:paraId="1B1AA73B" w14:textId="77777777" w:rsidR="00CE7E5D" w:rsidRPr="00CE7E5D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1F32356" w14:textId="77777777" w:rsidR="00CE7E5D" w:rsidRPr="00CE7E5D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9F580F" w14:textId="77777777" w:rsidR="00CE7E5D" w:rsidRPr="00CE7E5D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HATÁROZATI JAVASLAT</w:t>
      </w:r>
    </w:p>
    <w:p w14:paraId="77020BAA" w14:textId="77777777" w:rsidR="00CE7E5D" w:rsidRPr="00CE7E5D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867F42" w14:textId="2B22B2F2" w:rsidR="00CE7E5D" w:rsidRPr="008048B2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Kápolnásnyék Község Önkormányzat Képviselő-testülete</w:t>
      </w:r>
      <w:r w:rsidR="008048B2"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 hatáskörében eljáró</w:t>
      </w:r>
    </w:p>
    <w:p w14:paraId="6D37C3EE" w14:textId="1C25D0B7" w:rsidR="008048B2" w:rsidRPr="00CE7E5D" w:rsidRDefault="008048B2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>Kápolnásnyék Község Polgármestere</w:t>
      </w:r>
    </w:p>
    <w:p w14:paraId="56CCBC40" w14:textId="54B65C0E" w:rsidR="00CE7E5D" w:rsidRPr="00CE7E5D" w:rsidRDefault="00CE7E5D" w:rsidP="00CE7E5D">
      <w:pPr>
        <w:tabs>
          <w:tab w:val="center" w:pos="4536"/>
          <w:tab w:val="left" w:pos="5715"/>
        </w:tabs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ab/>
        <w:t>…/2020.(</w:t>
      </w:r>
      <w:r w:rsidR="008048B2" w:rsidRPr="008048B2">
        <w:rPr>
          <w:rFonts w:ascii="Times New Roman" w:eastAsia="Calibri" w:hAnsi="Times New Roman"/>
          <w:sz w:val="22"/>
          <w:szCs w:val="22"/>
          <w:lang w:eastAsia="en-US"/>
        </w:rPr>
        <w:t>V.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8048B2" w:rsidRPr="008048B2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.)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14:paraId="075EC2B6" w14:textId="77777777" w:rsidR="00CE7E5D" w:rsidRPr="00CE7E5D" w:rsidRDefault="00CE7E5D" w:rsidP="00CE7E5D">
      <w:pPr>
        <w:suppressAutoHyphens w:val="0"/>
        <w:ind w:left="3540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         Határozata</w:t>
      </w:r>
    </w:p>
    <w:p w14:paraId="59608354" w14:textId="77777777" w:rsidR="00CE7E5D" w:rsidRPr="00CE7E5D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669B04BB" w14:textId="10952070" w:rsidR="00CE7E5D" w:rsidRPr="00CE7E5D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az Önkormányzat 2020. évre vonatkozó éves összesített közbeszerzési tervé</w:t>
      </w:r>
      <w:r w:rsidR="008048B2" w:rsidRPr="008048B2">
        <w:rPr>
          <w:rFonts w:ascii="Times New Roman" w:eastAsia="Calibri" w:hAnsi="Times New Roman"/>
          <w:sz w:val="22"/>
          <w:szCs w:val="22"/>
          <w:lang w:eastAsia="en-US"/>
        </w:rPr>
        <w:t>nek módosításáról</w:t>
      </w:r>
    </w:p>
    <w:p w14:paraId="64116441" w14:textId="77777777" w:rsidR="00CE7E5D" w:rsidRPr="00CE7E5D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6E0F3BFA" w14:textId="77777777" w:rsidR="008048B2" w:rsidRPr="008048B2" w:rsidRDefault="008048B2" w:rsidP="008048B2">
      <w:pPr>
        <w:suppressAutoHyphens w:val="0"/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>Kápolnásnyék Község Polgármestere a döntéshozatal körülményei kapcsán az alábbiakat rögzíti.</w:t>
      </w:r>
    </w:p>
    <w:p w14:paraId="597CE68C" w14:textId="77777777" w:rsidR="008048B2" w:rsidRPr="008048B2" w:rsidRDefault="008048B2" w:rsidP="008048B2">
      <w:pPr>
        <w:suppressAutoHyphens w:val="0"/>
        <w:spacing w:after="160" w:line="256" w:lineRule="auto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27A56519" w14:textId="77777777" w:rsidR="008048B2" w:rsidRPr="008048B2" w:rsidRDefault="008048B2" w:rsidP="008048B2">
      <w:pPr>
        <w:suppressAutoHyphens w:val="0"/>
        <w:spacing w:after="160" w:line="25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0F243A90" w14:textId="3C37CFD7" w:rsidR="008048B2" w:rsidRDefault="008048B2" w:rsidP="008048B2">
      <w:pPr>
        <w:suppressAutoHyphens w:val="0"/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>Fentiekre</w:t>
      </w:r>
      <w:r w:rsidRPr="008048B2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>tekintettel Kápolnásnyék Község Polgármestere az alábbi</w:t>
      </w:r>
      <w:r w:rsidR="00910F64">
        <w:rPr>
          <w:rFonts w:ascii="Times New Roman" w:eastAsia="Calibri" w:hAnsi="Times New Roman"/>
          <w:sz w:val="22"/>
          <w:szCs w:val="22"/>
          <w:lang w:eastAsia="en-US"/>
        </w:rPr>
        <w:t>ak szerint határoz</w:t>
      </w: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</w:p>
    <w:p w14:paraId="33C9FA67" w14:textId="419F8D67" w:rsidR="008048B2" w:rsidRDefault="008048B2" w:rsidP="008048B2">
      <w:pPr>
        <w:pStyle w:val="Listaszerbekezds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hu-HU"/>
        </w:rPr>
      </w:pPr>
      <w:r>
        <w:rPr>
          <w:rFonts w:ascii="Times New Roman" w:hAnsi="Times New Roman"/>
          <w:sz w:val="22"/>
          <w:szCs w:val="22"/>
          <w:lang w:eastAsia="hu-HU"/>
        </w:rPr>
        <w:t>Kápolnásnyék Község közbeszerzési tervét a mellékletben foglaltak szerint módosítom.</w:t>
      </w:r>
    </w:p>
    <w:p w14:paraId="21008D6D" w14:textId="272268AE" w:rsidR="008048B2" w:rsidRPr="008048B2" w:rsidRDefault="008048B2" w:rsidP="008048B2">
      <w:pPr>
        <w:pStyle w:val="Listaszerbekezds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hu-HU"/>
        </w:rPr>
      </w:pPr>
      <w:r>
        <w:rPr>
          <w:rFonts w:ascii="Times New Roman" w:hAnsi="Times New Roman"/>
          <w:sz w:val="22"/>
          <w:szCs w:val="22"/>
          <w:lang w:eastAsia="hu-HU"/>
        </w:rPr>
        <w:t>Felkérem a jegyzőt, hogy gondoskodjon a módosított közbeszerzési terv EKR rendszerbe és a weboldalra történő feltöltéséről.</w:t>
      </w:r>
    </w:p>
    <w:p w14:paraId="55858148" w14:textId="77777777" w:rsidR="00CE7E5D" w:rsidRPr="00CE7E5D" w:rsidRDefault="00CE7E5D" w:rsidP="00CE7E5D">
      <w:pPr>
        <w:suppressAutoHyphens w:val="0"/>
        <w:spacing w:before="12" w:line="240" w:lineRule="exact"/>
        <w:ind w:left="142"/>
        <w:rPr>
          <w:rFonts w:ascii="Times New Roman" w:eastAsia="Calibri" w:hAnsi="Times New Roman"/>
          <w:sz w:val="22"/>
          <w:szCs w:val="22"/>
          <w:lang w:eastAsia="en-US"/>
        </w:rPr>
      </w:pPr>
    </w:p>
    <w:p w14:paraId="7DBD7B13" w14:textId="3F31ABAC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u w:val="single"/>
          <w:lang w:eastAsia="en-US"/>
        </w:rPr>
        <w:t>A határozat végrehajtásáért felelős: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10F64">
        <w:rPr>
          <w:rFonts w:ascii="Times New Roman" w:eastAsia="Calibri" w:hAnsi="Times New Roman"/>
          <w:sz w:val="22"/>
          <w:szCs w:val="22"/>
          <w:lang w:eastAsia="en-US"/>
        </w:rPr>
        <w:t>Szabóné Ánosi Ildikó jegyző</w:t>
      </w:r>
    </w:p>
    <w:p w14:paraId="69277286" w14:textId="476A731F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u w:val="single"/>
          <w:lang w:eastAsia="en-US"/>
        </w:rPr>
        <w:t>A határozat végrehajtásának határideje: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048B2">
        <w:rPr>
          <w:rFonts w:ascii="Times New Roman" w:eastAsia="Calibri" w:hAnsi="Times New Roman"/>
          <w:sz w:val="22"/>
          <w:szCs w:val="22"/>
          <w:lang w:eastAsia="en-US"/>
        </w:rPr>
        <w:t>azonnali</w:t>
      </w:r>
    </w:p>
    <w:p w14:paraId="29616ACE" w14:textId="77777777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194B186F" w14:textId="7D17E3C4" w:rsidR="00CE7E5D" w:rsidRPr="00CE7E5D" w:rsidRDefault="00CE7E5D" w:rsidP="00CE7E5D">
      <w:pPr>
        <w:suppressAutoHyphens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Kápolnásnyék, 2020. március 2</w:t>
      </w:r>
      <w:r w:rsidR="008048B2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0F52B9E" w14:textId="77777777" w:rsidR="00CE7E5D" w:rsidRPr="00CE7E5D" w:rsidRDefault="00CE7E5D" w:rsidP="00CE7E5D">
      <w:pPr>
        <w:suppressAutoHyphens w:val="0"/>
        <w:spacing w:line="200" w:lineRule="exac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8974FAD" w14:textId="77777777" w:rsidR="00CE7E5D" w:rsidRPr="00CE7E5D" w:rsidRDefault="00CE7E5D" w:rsidP="00CE7E5D">
      <w:pPr>
        <w:suppressAutoHyphens w:val="0"/>
        <w:spacing w:before="31"/>
        <w:ind w:left="5782" w:right="1527" w:firstLine="590"/>
        <w:rPr>
          <w:rFonts w:ascii="Times New Roman" w:eastAsia="Calibri" w:hAnsi="Times New Roman"/>
          <w:sz w:val="22"/>
          <w:szCs w:val="22"/>
          <w:lang w:eastAsia="en-US"/>
        </w:rPr>
      </w:pPr>
    </w:p>
    <w:p w14:paraId="2FD85C51" w14:textId="77777777" w:rsidR="00CE7E5D" w:rsidRPr="00CE7E5D" w:rsidRDefault="00CE7E5D" w:rsidP="00CE7E5D">
      <w:pPr>
        <w:suppressAutoHyphens w:val="0"/>
        <w:spacing w:before="31"/>
        <w:ind w:left="5782" w:right="1527" w:firstLine="590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E5D" w:rsidRPr="008048B2" w14:paraId="2AC5F560" w14:textId="77777777" w:rsidTr="00F95D15">
        <w:tc>
          <w:tcPr>
            <w:tcW w:w="4531" w:type="dxa"/>
          </w:tcPr>
          <w:p w14:paraId="657F7C2C" w14:textId="77777777" w:rsidR="00CE7E5D" w:rsidRPr="008048B2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2"/>
                <w:szCs w:val="22"/>
                <w:lang w:eastAsia="hu-HU"/>
              </w:rPr>
            </w:pPr>
            <w:r w:rsidRPr="008048B2">
              <w:rPr>
                <w:rFonts w:ascii="Times New Roman" w:hAnsi="Times New Roman"/>
                <w:sz w:val="22"/>
                <w:szCs w:val="22"/>
                <w:lang w:eastAsia="hu-HU"/>
              </w:rPr>
              <w:t>Podhorszki István</w:t>
            </w:r>
          </w:p>
        </w:tc>
        <w:tc>
          <w:tcPr>
            <w:tcW w:w="4531" w:type="dxa"/>
          </w:tcPr>
          <w:p w14:paraId="66CB92A7" w14:textId="77777777" w:rsidR="00CE7E5D" w:rsidRPr="008048B2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048B2">
              <w:rPr>
                <w:rFonts w:ascii="Times New Roman" w:hAnsi="Times New Roman"/>
                <w:sz w:val="22"/>
                <w:szCs w:val="22"/>
                <w:lang w:eastAsia="hu-HU"/>
              </w:rPr>
              <w:t>Szabóné Ánosi Ildikó</w:t>
            </w:r>
          </w:p>
        </w:tc>
      </w:tr>
      <w:tr w:rsidR="00CE7E5D" w:rsidRPr="008048B2" w14:paraId="0A9FCD8B" w14:textId="77777777" w:rsidTr="00F95D15">
        <w:tc>
          <w:tcPr>
            <w:tcW w:w="4531" w:type="dxa"/>
            <w:hideMark/>
          </w:tcPr>
          <w:p w14:paraId="07631C26" w14:textId="77777777" w:rsidR="00CE7E5D" w:rsidRPr="008048B2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048B2">
              <w:rPr>
                <w:rFonts w:ascii="Times New Roman" w:hAnsi="Times New Roman"/>
                <w:sz w:val="22"/>
                <w:szCs w:val="22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003BA118" w14:textId="77777777" w:rsidR="00CE7E5D" w:rsidRPr="008048B2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048B2">
              <w:rPr>
                <w:rFonts w:ascii="Times New Roman" w:hAnsi="Times New Roman"/>
                <w:sz w:val="22"/>
                <w:szCs w:val="22"/>
                <w:lang w:eastAsia="hu-HU"/>
              </w:rPr>
              <w:t>jegyző</w:t>
            </w:r>
          </w:p>
        </w:tc>
      </w:tr>
    </w:tbl>
    <w:p w14:paraId="46CE4571" w14:textId="77777777" w:rsidR="008048B2" w:rsidRDefault="008048B2" w:rsidP="008048B2">
      <w:pPr>
        <w:rPr>
          <w:rFonts w:ascii="Times New Roman" w:hAnsi="Times New Roman"/>
          <w:sz w:val="22"/>
          <w:szCs w:val="22"/>
        </w:rPr>
      </w:pPr>
    </w:p>
    <w:p w14:paraId="3C70732F" w14:textId="77777777" w:rsidR="008048B2" w:rsidRDefault="008048B2" w:rsidP="008048B2">
      <w:pPr>
        <w:rPr>
          <w:rFonts w:ascii="Times New Roman" w:hAnsi="Times New Roman"/>
          <w:sz w:val="22"/>
          <w:szCs w:val="22"/>
        </w:rPr>
      </w:pPr>
    </w:p>
    <w:p w14:paraId="75F66F2F" w14:textId="48C0A691" w:rsidR="008048B2" w:rsidRPr="008048B2" w:rsidRDefault="008048B2" w:rsidP="008048B2">
      <w:pPr>
        <w:rPr>
          <w:rFonts w:ascii="Times New Roman" w:hAnsi="Times New Roman"/>
          <w:sz w:val="22"/>
          <w:szCs w:val="22"/>
        </w:rPr>
      </w:pPr>
    </w:p>
    <w:p w14:paraId="30BBAEBE" w14:textId="1C516070" w:rsidR="00CE7E5D" w:rsidRDefault="00CE7E5D" w:rsidP="008048B2">
      <w:pPr>
        <w:suppressAutoHyphens w:val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br w:type="page"/>
      </w:r>
      <w:proofErr w:type="gramStart"/>
      <w:r w:rsidRPr="00CE7E5D">
        <w:rPr>
          <w:rFonts w:ascii="Times New Roman" w:eastAsia="Calibri" w:hAnsi="Times New Roman"/>
          <w:sz w:val="22"/>
          <w:szCs w:val="22"/>
          <w:lang w:eastAsia="en-US"/>
        </w:rPr>
        <w:t>..</w:t>
      </w:r>
      <w:proofErr w:type="gramEnd"/>
      <w:r w:rsidRPr="00CE7E5D">
        <w:rPr>
          <w:rFonts w:ascii="Times New Roman" w:eastAsia="Calibri" w:hAnsi="Times New Roman"/>
          <w:sz w:val="22"/>
          <w:szCs w:val="22"/>
          <w:lang w:eastAsia="en-US"/>
        </w:rPr>
        <w:t>/2020.(</w:t>
      </w:r>
      <w:r w:rsidR="00910F64">
        <w:rPr>
          <w:rFonts w:ascii="Times New Roman" w:eastAsia="Calibri" w:hAnsi="Times New Roman"/>
          <w:sz w:val="22"/>
          <w:szCs w:val="22"/>
          <w:lang w:eastAsia="en-US"/>
        </w:rPr>
        <w:t>V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. 2</w:t>
      </w:r>
      <w:r w:rsidR="008048B2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.) határozat melléklete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715DABCA" w14:textId="77777777" w:rsidR="008048B2" w:rsidRPr="008048B2" w:rsidRDefault="008048B2" w:rsidP="008048B2">
      <w:pPr>
        <w:suppressAutoHyphens w:val="0"/>
        <w:jc w:val="both"/>
        <w:rPr>
          <w:rFonts w:cs="Arial"/>
          <w:sz w:val="20"/>
          <w:szCs w:val="20"/>
          <w:lang w:eastAsia="hu-HU"/>
        </w:rPr>
      </w:pPr>
    </w:p>
    <w:tbl>
      <w:tblPr>
        <w:tblpPr w:leftFromText="141" w:rightFromText="141" w:vertAnchor="text" w:tblpXSpec="right" w:tblpY="1"/>
        <w:tblOverlap w:val="never"/>
        <w:tblW w:w="506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544"/>
        <w:gridCol w:w="1110"/>
        <w:gridCol w:w="1435"/>
        <w:gridCol w:w="1901"/>
        <w:gridCol w:w="1536"/>
        <w:gridCol w:w="1538"/>
      </w:tblGrid>
      <w:tr w:rsidR="00C06C61" w:rsidRPr="00C06C61" w14:paraId="6945A721" w14:textId="77777777" w:rsidTr="00755E9E">
        <w:trPr>
          <w:tblCellSpacing w:w="15" w:type="dxa"/>
        </w:trPr>
        <w:tc>
          <w:tcPr>
            <w:tcW w:w="693" w:type="pct"/>
            <w:vMerge w:val="restart"/>
            <w:shd w:val="clear" w:color="auto" w:fill="E5DF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21E56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A közbeszerzés tárgya és mennyisége</w:t>
            </w:r>
          </w:p>
        </w:tc>
        <w:tc>
          <w:tcPr>
            <w:tcW w:w="325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2A1B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CPV kód</w:t>
            </w:r>
          </w:p>
        </w:tc>
        <w:tc>
          <w:tcPr>
            <w:tcW w:w="596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370A1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Irányadó eljárásrend</w:t>
            </w:r>
          </w:p>
        </w:tc>
        <w:tc>
          <w:tcPr>
            <w:tcW w:w="557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4A756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Tervezett eljárási típus</w:t>
            </w:r>
          </w:p>
        </w:tc>
        <w:tc>
          <w:tcPr>
            <w:tcW w:w="1921" w:type="pct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42F5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Időbeli ütemezés</w:t>
            </w:r>
          </w:p>
        </w:tc>
        <w:tc>
          <w:tcPr>
            <w:tcW w:w="797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9C13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Sor kerül-e vagy sor került-e az adott közbeszerzéssel összefüggésben előzetes összesített tájékoztató közzétételére?</w:t>
            </w:r>
          </w:p>
        </w:tc>
      </w:tr>
      <w:tr w:rsidR="00C06C61" w:rsidRPr="00C06C61" w14:paraId="348FB8CD" w14:textId="77777777" w:rsidTr="00755E9E">
        <w:trPr>
          <w:tblCellSpacing w:w="15" w:type="dxa"/>
        </w:trPr>
        <w:tc>
          <w:tcPr>
            <w:tcW w:w="0" w:type="auto"/>
            <w:vMerge/>
            <w:shd w:val="clear" w:color="auto" w:fill="E5DFEC"/>
            <w:vAlign w:val="center"/>
            <w:hideMark/>
          </w:tcPr>
          <w:p w14:paraId="30298284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4380E083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4231E445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14:paraId="0F0F0D60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clear" w:color="auto" w:fill="E5DFEC"/>
            <w:hideMark/>
          </w:tcPr>
          <w:p w14:paraId="4F80DB5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az eljárás megindításának, illetve a közbeszerzés megvalósításának tervezett időpontja</w:t>
            </w:r>
          </w:p>
        </w:tc>
        <w:tc>
          <w:tcPr>
            <w:tcW w:w="899" w:type="pct"/>
            <w:shd w:val="clear" w:color="auto" w:fill="E5DFEC"/>
            <w:hideMark/>
          </w:tcPr>
          <w:p w14:paraId="1D6B6CA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szerződés teljesítésének várható időpontja vagy a szerződés időtartama</w:t>
            </w:r>
          </w:p>
        </w:tc>
        <w:tc>
          <w:tcPr>
            <w:tcW w:w="797" w:type="pct"/>
            <w:vMerge/>
            <w:vAlign w:val="center"/>
            <w:hideMark/>
          </w:tcPr>
          <w:p w14:paraId="3D34FB0B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</w:tr>
      <w:tr w:rsidR="00C06C61" w:rsidRPr="00C06C61" w14:paraId="1295AC20" w14:textId="77777777" w:rsidTr="00755E9E">
        <w:trPr>
          <w:trHeight w:val="454"/>
          <w:tblCellSpacing w:w="15" w:type="dxa"/>
        </w:trPr>
        <w:tc>
          <w:tcPr>
            <w:tcW w:w="69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16838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I. Árubeszerzés</w:t>
            </w:r>
          </w:p>
        </w:tc>
        <w:tc>
          <w:tcPr>
            <w:tcW w:w="32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7D45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9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A80B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097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ABBA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ECFA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265B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</w:tr>
      <w:tr w:rsidR="00C06C61" w:rsidRPr="00C06C61" w14:paraId="622C5CAC" w14:textId="77777777" w:rsidTr="00755E9E">
        <w:trPr>
          <w:trHeight w:val="454"/>
          <w:tblCellSpacing w:w="15" w:type="dxa"/>
        </w:trPr>
        <w:tc>
          <w:tcPr>
            <w:tcW w:w="69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8FE67" w14:textId="2DB5A9DE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Bölcsődei férőhelyek kialakítása, bővítése</w:t>
            </w:r>
          </w:p>
        </w:tc>
        <w:tc>
          <w:tcPr>
            <w:tcW w:w="32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4606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4197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23C1A" w14:textId="4E2A7BC8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 xml:space="preserve">Nemzeti </w:t>
            </w:r>
            <w:proofErr w:type="gramStart"/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ért.határ</w:t>
            </w:r>
            <w:proofErr w:type="gramEnd"/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-Nyílt(Kbt.2015)</w:t>
            </w:r>
          </w:p>
        </w:tc>
        <w:tc>
          <w:tcPr>
            <w:tcW w:w="10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A908" w14:textId="45AA9413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2020. november</w:t>
            </w:r>
          </w:p>
        </w:tc>
        <w:tc>
          <w:tcPr>
            <w:tcW w:w="8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96DD9" w14:textId="7DCDB6CF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2021. január</w:t>
            </w:r>
          </w:p>
        </w:tc>
        <w:tc>
          <w:tcPr>
            <w:tcW w:w="7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04C9" w14:textId="14CED21D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nem</w:t>
            </w:r>
          </w:p>
        </w:tc>
      </w:tr>
      <w:tr w:rsidR="00C06C61" w:rsidRPr="00C06C61" w14:paraId="15EEF675" w14:textId="77777777" w:rsidTr="00755E9E">
        <w:trPr>
          <w:trHeight w:val="454"/>
          <w:tblCellSpacing w:w="15" w:type="dxa"/>
        </w:trPr>
        <w:tc>
          <w:tcPr>
            <w:tcW w:w="69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C218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II. Építési beruházás</w:t>
            </w:r>
          </w:p>
        </w:tc>
        <w:tc>
          <w:tcPr>
            <w:tcW w:w="32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F193A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9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7901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FFA9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D8E3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6485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3180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</w:tr>
      <w:tr w:rsidR="00C06C61" w:rsidRPr="00C06C61" w14:paraId="7199BC9B" w14:textId="77777777" w:rsidTr="00755E9E">
        <w:trPr>
          <w:trHeight w:val="454"/>
          <w:tblCellSpacing w:w="15" w:type="dxa"/>
        </w:trPr>
        <w:tc>
          <w:tcPr>
            <w:tcW w:w="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957D" w14:textId="6AF927DD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Bölcsődei férőhelyek kialakítása, bővítése</w:t>
            </w:r>
          </w:p>
        </w:tc>
        <w:tc>
          <w:tcPr>
            <w:tcW w:w="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8B9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F083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F8956" w14:textId="69912A8C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 xml:space="preserve">Nemzeti </w:t>
            </w:r>
            <w:proofErr w:type="gramStart"/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ért.határ</w:t>
            </w:r>
            <w:proofErr w:type="gramEnd"/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-Nyílt(Kbt.2015)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48779" w14:textId="0F5A0973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2020. december</w:t>
            </w:r>
          </w:p>
        </w:tc>
        <w:tc>
          <w:tcPr>
            <w:tcW w:w="8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27FD" w14:textId="19AF19CD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2021. február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0F87D" w14:textId="4B6533CE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nem</w:t>
            </w:r>
          </w:p>
        </w:tc>
      </w:tr>
      <w:tr w:rsidR="00C06C61" w:rsidRPr="00C06C61" w14:paraId="02977E63" w14:textId="77777777" w:rsidTr="00755E9E">
        <w:trPr>
          <w:trHeight w:val="454"/>
          <w:tblCellSpacing w:w="15" w:type="dxa"/>
        </w:trPr>
        <w:tc>
          <w:tcPr>
            <w:tcW w:w="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8769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89FC9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6B74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607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C3D4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7AA8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DFC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hu-HU"/>
              </w:rPr>
            </w:pPr>
          </w:p>
        </w:tc>
      </w:tr>
      <w:tr w:rsidR="00C06C61" w:rsidRPr="00C06C61" w14:paraId="7CDA781E" w14:textId="77777777" w:rsidTr="00755E9E">
        <w:trPr>
          <w:trHeight w:val="454"/>
          <w:tblCellSpacing w:w="15" w:type="dxa"/>
        </w:trPr>
        <w:tc>
          <w:tcPr>
            <w:tcW w:w="69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85750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III. Szolgáltatás-megrendelés</w:t>
            </w:r>
          </w:p>
        </w:tc>
        <w:tc>
          <w:tcPr>
            <w:tcW w:w="32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A4625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9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1DF1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91276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5F1D1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9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A9433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447F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</w:tr>
      <w:tr w:rsidR="00C06C61" w:rsidRPr="00C06C61" w14:paraId="7F19743A" w14:textId="77777777" w:rsidTr="00755E9E">
        <w:trPr>
          <w:trHeight w:val="454"/>
          <w:tblCellSpacing w:w="15" w:type="dxa"/>
        </w:trPr>
        <w:tc>
          <w:tcPr>
            <w:tcW w:w="693" w:type="pct"/>
            <w:vAlign w:val="center"/>
          </w:tcPr>
          <w:p w14:paraId="643F147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  <w:vAlign w:val="center"/>
          </w:tcPr>
          <w:p w14:paraId="630176A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vAlign w:val="center"/>
          </w:tcPr>
          <w:p w14:paraId="4A31681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vAlign w:val="center"/>
          </w:tcPr>
          <w:p w14:paraId="6474080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vAlign w:val="center"/>
          </w:tcPr>
          <w:p w14:paraId="52642F0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vAlign w:val="center"/>
          </w:tcPr>
          <w:p w14:paraId="686C4A59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vAlign w:val="center"/>
          </w:tcPr>
          <w:p w14:paraId="1D6D246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</w:tr>
      <w:tr w:rsidR="00C06C61" w:rsidRPr="00C06C61" w14:paraId="0DB44B8F" w14:textId="77777777" w:rsidTr="00755E9E">
        <w:trPr>
          <w:trHeight w:val="454"/>
          <w:tblCellSpacing w:w="15" w:type="dxa"/>
        </w:trPr>
        <w:tc>
          <w:tcPr>
            <w:tcW w:w="693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CD0D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IV. Építési koncesszió</w:t>
            </w:r>
          </w:p>
        </w:tc>
        <w:tc>
          <w:tcPr>
            <w:tcW w:w="325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17B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4749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79A00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BF41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F635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2730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</w:tr>
      <w:tr w:rsidR="00C06C61" w:rsidRPr="00C06C61" w14:paraId="31726E46" w14:textId="77777777" w:rsidTr="00755E9E">
        <w:trPr>
          <w:trHeight w:val="454"/>
          <w:tblCellSpacing w:w="15" w:type="dxa"/>
        </w:trPr>
        <w:tc>
          <w:tcPr>
            <w:tcW w:w="693" w:type="pct"/>
          </w:tcPr>
          <w:p w14:paraId="58C3694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</w:tcPr>
          <w:p w14:paraId="5BAA380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</w:tcPr>
          <w:p w14:paraId="2C338A8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</w:tcPr>
          <w:p w14:paraId="50573DA8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</w:tcPr>
          <w:p w14:paraId="3DE5283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</w:tcPr>
          <w:p w14:paraId="1B451CE1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</w:tcPr>
          <w:p w14:paraId="4571951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</w:tr>
      <w:tr w:rsidR="00C06C61" w:rsidRPr="00C06C61" w14:paraId="4A8915A0" w14:textId="77777777" w:rsidTr="00755E9E">
        <w:trPr>
          <w:trHeight w:val="454"/>
          <w:tblCellSpacing w:w="15" w:type="dxa"/>
        </w:trPr>
        <w:tc>
          <w:tcPr>
            <w:tcW w:w="693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D4D1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V. Szolgáltatási koncesszió</w:t>
            </w:r>
          </w:p>
        </w:tc>
        <w:tc>
          <w:tcPr>
            <w:tcW w:w="325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61F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554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4058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7871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A63D0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3F77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</w:tr>
      <w:tr w:rsidR="00C06C61" w:rsidRPr="00C06C61" w14:paraId="6BD6A3AD" w14:textId="77777777" w:rsidTr="00755E9E">
        <w:trPr>
          <w:trHeight w:val="454"/>
          <w:tblCellSpacing w:w="15" w:type="dxa"/>
        </w:trPr>
        <w:tc>
          <w:tcPr>
            <w:tcW w:w="693" w:type="pct"/>
            <w:vAlign w:val="center"/>
          </w:tcPr>
          <w:p w14:paraId="080F77F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sz w:val="22"/>
                <w:szCs w:val="22"/>
                <w:lang w:eastAsia="hu-HU"/>
              </w:rPr>
              <w:t>Kápolnásnyék</w:t>
            </w:r>
            <w:r w:rsidRPr="00C06C61">
              <w:rPr>
                <w:rFonts w:ascii="Calibri" w:eastAsia="Calibri" w:hAnsi="Calibri"/>
                <w:bCs/>
                <w:sz w:val="22"/>
                <w:szCs w:val="22"/>
                <w:lang w:eastAsia="hu-HU"/>
              </w:rPr>
              <w:t xml:space="preserve"> Közétkeztetési szolgáltatás</w:t>
            </w:r>
          </w:p>
        </w:tc>
        <w:tc>
          <w:tcPr>
            <w:tcW w:w="325" w:type="pct"/>
            <w:vAlign w:val="center"/>
          </w:tcPr>
          <w:p w14:paraId="5479F43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vAlign w:val="center"/>
          </w:tcPr>
          <w:p w14:paraId="659B496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sz w:val="22"/>
                <w:szCs w:val="22"/>
                <w:lang w:eastAsia="hu-HU"/>
              </w:rPr>
              <w:t>2015.évi CXLIII. törvény</w:t>
            </w:r>
          </w:p>
          <w:p w14:paraId="115D048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sz w:val="22"/>
                <w:szCs w:val="22"/>
                <w:lang w:eastAsia="hu-HU"/>
              </w:rPr>
              <w:t>112. § (1) bekezdés b) pont szerinti eljárás</w:t>
            </w:r>
          </w:p>
        </w:tc>
        <w:tc>
          <w:tcPr>
            <w:tcW w:w="557" w:type="pct"/>
            <w:vAlign w:val="center"/>
          </w:tcPr>
          <w:p w14:paraId="3883D41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Cs/>
                <w:sz w:val="22"/>
                <w:szCs w:val="22"/>
                <w:lang w:eastAsia="hu-HU"/>
              </w:rPr>
              <w:t>Nyílt</w:t>
            </w:r>
          </w:p>
        </w:tc>
        <w:tc>
          <w:tcPr>
            <w:tcW w:w="1006" w:type="pct"/>
            <w:vAlign w:val="center"/>
          </w:tcPr>
          <w:p w14:paraId="346D15E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Cs/>
                <w:sz w:val="22"/>
                <w:szCs w:val="22"/>
                <w:lang w:eastAsia="hu-HU"/>
              </w:rPr>
              <w:t>2020. március</w:t>
            </w:r>
          </w:p>
        </w:tc>
        <w:tc>
          <w:tcPr>
            <w:tcW w:w="899" w:type="pct"/>
            <w:vAlign w:val="center"/>
          </w:tcPr>
          <w:p w14:paraId="57EF2A8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sz w:val="22"/>
                <w:szCs w:val="22"/>
                <w:lang w:eastAsia="hu-HU"/>
              </w:rPr>
              <w:t>2020. május</w:t>
            </w:r>
          </w:p>
        </w:tc>
        <w:tc>
          <w:tcPr>
            <w:tcW w:w="797" w:type="pct"/>
            <w:vAlign w:val="center"/>
          </w:tcPr>
          <w:p w14:paraId="0D400398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sz w:val="22"/>
                <w:szCs w:val="22"/>
                <w:lang w:eastAsia="hu-HU"/>
              </w:rPr>
              <w:t>Nem</w:t>
            </w:r>
          </w:p>
        </w:tc>
      </w:tr>
    </w:tbl>
    <w:p w14:paraId="1E0DB441" w14:textId="77777777" w:rsidR="00D23F81" w:rsidRPr="008048B2" w:rsidRDefault="00D23F81" w:rsidP="0022352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23F81" w:rsidRPr="008048B2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A90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27DED"/>
    <w:multiLevelType w:val="hybridMultilevel"/>
    <w:tmpl w:val="6C4290B2"/>
    <w:lvl w:ilvl="0" w:tplc="E6A6F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6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7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9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63486B"/>
    <w:multiLevelType w:val="hybridMultilevel"/>
    <w:tmpl w:val="B5A4EAD6"/>
    <w:lvl w:ilvl="0" w:tplc="D5C6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048AA"/>
    <w:rsid w:val="00072546"/>
    <w:rsid w:val="0007765F"/>
    <w:rsid w:val="000C410B"/>
    <w:rsid w:val="000D2C80"/>
    <w:rsid w:val="00101996"/>
    <w:rsid w:val="0015127A"/>
    <w:rsid w:val="00184749"/>
    <w:rsid w:val="001A6745"/>
    <w:rsid w:val="001B16F0"/>
    <w:rsid w:val="001D083F"/>
    <w:rsid w:val="001D1B4F"/>
    <w:rsid w:val="0022352C"/>
    <w:rsid w:val="0024111F"/>
    <w:rsid w:val="00247101"/>
    <w:rsid w:val="002672A0"/>
    <w:rsid w:val="00272259"/>
    <w:rsid w:val="00286D89"/>
    <w:rsid w:val="00287AFE"/>
    <w:rsid w:val="00313568"/>
    <w:rsid w:val="00356B4F"/>
    <w:rsid w:val="00357BC5"/>
    <w:rsid w:val="00360E77"/>
    <w:rsid w:val="003900BE"/>
    <w:rsid w:val="003D1A00"/>
    <w:rsid w:val="00403C01"/>
    <w:rsid w:val="00425736"/>
    <w:rsid w:val="00427495"/>
    <w:rsid w:val="004D4302"/>
    <w:rsid w:val="004F296E"/>
    <w:rsid w:val="00523E4B"/>
    <w:rsid w:val="00531A8A"/>
    <w:rsid w:val="00552862"/>
    <w:rsid w:val="005555E4"/>
    <w:rsid w:val="005D5722"/>
    <w:rsid w:val="00605808"/>
    <w:rsid w:val="00626138"/>
    <w:rsid w:val="006407DA"/>
    <w:rsid w:val="00641D3D"/>
    <w:rsid w:val="006A189D"/>
    <w:rsid w:val="006B0080"/>
    <w:rsid w:val="006B21DE"/>
    <w:rsid w:val="00700C87"/>
    <w:rsid w:val="007157ED"/>
    <w:rsid w:val="00734E70"/>
    <w:rsid w:val="00735F46"/>
    <w:rsid w:val="00775C59"/>
    <w:rsid w:val="007864E5"/>
    <w:rsid w:val="007A00A8"/>
    <w:rsid w:val="007F1724"/>
    <w:rsid w:val="007F3830"/>
    <w:rsid w:val="008048B2"/>
    <w:rsid w:val="0085142A"/>
    <w:rsid w:val="00857839"/>
    <w:rsid w:val="00860065"/>
    <w:rsid w:val="00886A2C"/>
    <w:rsid w:val="00892058"/>
    <w:rsid w:val="00910F64"/>
    <w:rsid w:val="00934410"/>
    <w:rsid w:val="009413D1"/>
    <w:rsid w:val="00972D1C"/>
    <w:rsid w:val="009B4032"/>
    <w:rsid w:val="009D5B50"/>
    <w:rsid w:val="00A27DA3"/>
    <w:rsid w:val="00A57EF3"/>
    <w:rsid w:val="00A71DD3"/>
    <w:rsid w:val="00A75367"/>
    <w:rsid w:val="00A950BF"/>
    <w:rsid w:val="00A97027"/>
    <w:rsid w:val="00AC3830"/>
    <w:rsid w:val="00AC386D"/>
    <w:rsid w:val="00AE7712"/>
    <w:rsid w:val="00B116CB"/>
    <w:rsid w:val="00B41A91"/>
    <w:rsid w:val="00B57341"/>
    <w:rsid w:val="00B66F10"/>
    <w:rsid w:val="00B764EB"/>
    <w:rsid w:val="00C06C61"/>
    <w:rsid w:val="00C21663"/>
    <w:rsid w:val="00C4097B"/>
    <w:rsid w:val="00C500CD"/>
    <w:rsid w:val="00CB1EBB"/>
    <w:rsid w:val="00CE7E5D"/>
    <w:rsid w:val="00D01B89"/>
    <w:rsid w:val="00D205A0"/>
    <w:rsid w:val="00D236BB"/>
    <w:rsid w:val="00D23F81"/>
    <w:rsid w:val="00D44079"/>
    <w:rsid w:val="00DA5D00"/>
    <w:rsid w:val="00DA5F18"/>
    <w:rsid w:val="00DB68DA"/>
    <w:rsid w:val="00DC77DC"/>
    <w:rsid w:val="00DD67A5"/>
    <w:rsid w:val="00DF2736"/>
    <w:rsid w:val="00E465B5"/>
    <w:rsid w:val="00E5535C"/>
    <w:rsid w:val="00EB386A"/>
    <w:rsid w:val="00EB5971"/>
    <w:rsid w:val="00EC37C6"/>
    <w:rsid w:val="00EF4BE8"/>
    <w:rsid w:val="00F10AF4"/>
    <w:rsid w:val="00F930C8"/>
    <w:rsid w:val="00FA58D3"/>
    <w:rsid w:val="00FA770F"/>
    <w:rsid w:val="00FB5F3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5535C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5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Judit</cp:lastModifiedBy>
  <cp:revision>2</cp:revision>
  <cp:lastPrinted>2020-05-11T08:53:00Z</cp:lastPrinted>
  <dcterms:created xsi:type="dcterms:W3CDTF">2020-05-28T13:09:00Z</dcterms:created>
  <dcterms:modified xsi:type="dcterms:W3CDTF">2020-05-28T13:09:00Z</dcterms:modified>
</cp:coreProperties>
</file>