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aszerbekezds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Tájékoztató a „Nyári diákmunka 2023.” </w:t>
      </w:r>
    </w:p>
    <w:p>
      <w:pPr>
        <w:pStyle w:val="Listaszerbekezds"/>
        <w:ind w:left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központi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munkaerőpiaci</w:t>
      </w:r>
      <w:proofErr w:type="spellEnd"/>
      <w:r>
        <w:rPr>
          <w:b/>
          <w:sz w:val="22"/>
          <w:szCs w:val="22"/>
        </w:rPr>
        <w:t xml:space="preserve"> program indításáról</w:t>
      </w:r>
    </w:p>
    <w:p>
      <w:pPr>
        <w:pStyle w:val="Listaszerbekezds"/>
        <w:ind w:left="360"/>
        <w:jc w:val="center"/>
        <w:rPr>
          <w:b/>
          <w:sz w:val="22"/>
          <w:szCs w:val="22"/>
        </w:rPr>
      </w:pPr>
    </w:p>
    <w:p>
      <w:pPr>
        <w:pStyle w:val="asous-titre201p10"/>
        <w:spacing w:before="0" w:beforeAutospacing="0" w:after="0" w:afterAutospacing="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I.  A</w:t>
      </w:r>
      <w:proofErr w:type="gramEnd"/>
      <w:r>
        <w:rPr>
          <w:b/>
          <w:sz w:val="22"/>
          <w:szCs w:val="22"/>
        </w:rPr>
        <w:t xml:space="preserve"> programindítás indokai</w:t>
      </w:r>
    </w:p>
    <w:p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 fiatalkori inaktivitás csökkentésére, a korai munkatapasztalat- és munkajövedelem-szerzés elősegítésére a 2013-2022-es években elindított „Nyári diákmunka” program (a továbbiakban: program) a 2023. évben ismét meghirdetésre kerül.</w:t>
      </w:r>
    </w:p>
    <w:p>
      <w:pPr>
        <w:jc w:val="both"/>
        <w:rPr>
          <w:rFonts w:eastAsia="Calibri"/>
          <w:sz w:val="22"/>
          <w:szCs w:val="22"/>
          <w:lang w:eastAsia="en-US"/>
        </w:rPr>
      </w:pP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Hosszú távú célunk, hogy a diákok az elméleti tudásukat a gyakorlatban tökéletesítsék, és ehhez hozzájárul a program keretében történő munkatapasztalat-szerzés.</w:t>
      </w:r>
      <w:r>
        <w:rPr>
          <w:sz w:val="22"/>
          <w:szCs w:val="22"/>
        </w:rPr>
        <w:t xml:space="preserve"> A 2022. évben megvalósultaknak megfelelően a mezőgazdaság, valamint a turizmus és vendéglátás területén is lehetőséget biztosítunk a program keretében diákok foglalkoztatására.</w:t>
      </w:r>
    </w:p>
    <w:p>
      <w:pPr>
        <w:jc w:val="both"/>
        <w:rPr>
          <w:sz w:val="22"/>
          <w:szCs w:val="22"/>
        </w:rPr>
      </w:pPr>
    </w:p>
    <w:p>
      <w:pPr>
        <w:pStyle w:val="Cmsor2"/>
        <w:numPr>
          <w:ilvl w:val="0"/>
          <w:numId w:val="3"/>
        </w:numPr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célja</w:t>
      </w:r>
    </w:p>
    <w:p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program – prevenciós jelleggel – már diákkorban elő kívánja segíteni a fiatalok munkához jutását és ezzel a </w:t>
      </w:r>
      <w:r>
        <w:rPr>
          <w:b/>
          <w:sz w:val="22"/>
          <w:szCs w:val="22"/>
        </w:rPr>
        <w:t>korai munkatapasztalat-szerzés</w:t>
      </w:r>
      <w:r>
        <w:rPr>
          <w:sz w:val="22"/>
          <w:szCs w:val="22"/>
        </w:rPr>
        <w:t xml:space="preserve"> mellett a jövedelemszerzés lehetőségét is biztosítja. A munka révén szerzett korai sikerélmény </w:t>
      </w:r>
      <w:r>
        <w:rPr>
          <w:b/>
          <w:sz w:val="22"/>
          <w:szCs w:val="22"/>
        </w:rPr>
        <w:t>elősegíti a</w:t>
      </w:r>
      <w:r>
        <w:rPr>
          <w:sz w:val="22"/>
          <w:szCs w:val="22"/>
        </w:rPr>
        <w:t xml:space="preserve"> későbbi </w:t>
      </w:r>
      <w:r>
        <w:rPr>
          <w:b/>
          <w:sz w:val="22"/>
          <w:szCs w:val="22"/>
        </w:rPr>
        <w:t>munkaszocializációs folyamatot is.</w:t>
      </w:r>
    </w:p>
    <w:p>
      <w:pPr>
        <w:ind w:left="360"/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A program továbbá lehetőséget kínál a diákok kötelező szakmai gyakorlatának teljesítésére is.</w:t>
      </w:r>
    </w:p>
    <w:p>
      <w:pPr>
        <w:jc w:val="both"/>
        <w:rPr>
          <w:sz w:val="22"/>
          <w:szCs w:val="22"/>
        </w:rPr>
      </w:pPr>
    </w:p>
    <w:p>
      <w:pPr>
        <w:pStyle w:val="Cmsor2"/>
        <w:numPr>
          <w:ilvl w:val="0"/>
          <w:numId w:val="3"/>
        </w:numPr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célcsoportja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A program célcsoportjába azok a fiatalok tartoznak, akik:</w:t>
      </w:r>
    </w:p>
    <w:p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16 – 25 év közötti nappali tagozaton tanuló diákok</w:t>
      </w:r>
      <w:r>
        <w:rPr>
          <w:rStyle w:val="Lbjegyzet-hivatkozs"/>
          <w:sz w:val="22"/>
          <w:szCs w:val="22"/>
        </w:rPr>
        <w:footnoteReference w:id="1"/>
      </w:r>
      <w:r>
        <w:rPr>
          <w:sz w:val="22"/>
          <w:szCs w:val="22"/>
        </w:rPr>
        <w:t>,</w:t>
      </w:r>
    </w:p>
    <w:p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szolgáltatást kérőként kérték nyilvántartásba vételüket és</w:t>
      </w:r>
    </w:p>
    <w:p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foglalkoztatásra irányuló, vagy vállalkozási jogviszonnyal nem rendelkeznek.</w:t>
      </w:r>
    </w:p>
    <w:p>
      <w:pPr>
        <w:jc w:val="both"/>
        <w:rPr>
          <w:sz w:val="22"/>
          <w:szCs w:val="22"/>
        </w:rPr>
      </w:pPr>
    </w:p>
    <w:p>
      <w:pPr>
        <w:pStyle w:val="Cmsor2"/>
        <w:numPr>
          <w:ilvl w:val="0"/>
          <w:numId w:val="3"/>
        </w:numPr>
        <w:spacing w:after="120"/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elemei</w:t>
      </w:r>
    </w:p>
    <w:p>
      <w:pPr>
        <w:numPr>
          <w:ilvl w:val="1"/>
          <w:numId w:val="3"/>
        </w:numPr>
        <w:outlineLvl w:val="0"/>
        <w:rPr>
          <w:rFonts w:eastAsia="Calibri"/>
          <w:b/>
          <w:sz w:val="22"/>
          <w:szCs w:val="22"/>
          <w:lang w:bidi="en-US"/>
        </w:rPr>
      </w:pPr>
      <w:bookmarkStart w:id="0" w:name="_Toc65255974"/>
      <w:r>
        <w:rPr>
          <w:rFonts w:eastAsia="Calibri"/>
          <w:b/>
          <w:sz w:val="22"/>
          <w:szCs w:val="22"/>
          <w:lang w:bidi="en-US"/>
        </w:rPr>
        <w:t>Foglalkoztatást elősegítő szolgáltatások</w:t>
      </w:r>
      <w:bookmarkEnd w:id="0"/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járási hivatal a program keretében a szolgáltatást kérőként regisztrált diákok számára </w:t>
      </w:r>
      <w:proofErr w:type="spellStart"/>
      <w:r>
        <w:rPr>
          <w:b/>
          <w:sz w:val="22"/>
          <w:szCs w:val="22"/>
        </w:rPr>
        <w:t>munkaerőpiaci</w:t>
      </w:r>
      <w:proofErr w:type="spellEnd"/>
      <w:r>
        <w:rPr>
          <w:b/>
          <w:sz w:val="22"/>
          <w:szCs w:val="22"/>
        </w:rPr>
        <w:t xml:space="preserve"> információt nyújt</w:t>
      </w:r>
      <w:r>
        <w:rPr>
          <w:sz w:val="22"/>
          <w:szCs w:val="22"/>
        </w:rPr>
        <w:t xml:space="preserve">. Ezt követően a beérkezett munkaerőigények alapján az esélyegyenlőségi szempontok figyelembevételével </w:t>
      </w:r>
      <w:r>
        <w:rPr>
          <w:b/>
          <w:sz w:val="22"/>
          <w:szCs w:val="22"/>
        </w:rPr>
        <w:t>munkaközvetítést végez</w:t>
      </w:r>
      <w:r>
        <w:rPr>
          <w:sz w:val="22"/>
          <w:szCs w:val="22"/>
        </w:rPr>
        <w:t xml:space="preserve"> a sikeres elhelyezkedés érdekében.</w:t>
      </w:r>
    </w:p>
    <w:p>
      <w:pPr>
        <w:jc w:val="both"/>
        <w:rPr>
          <w:sz w:val="22"/>
          <w:szCs w:val="22"/>
        </w:rPr>
      </w:pPr>
    </w:p>
    <w:p>
      <w:pPr>
        <w:pStyle w:val="Cmsor2"/>
        <w:numPr>
          <w:ilvl w:val="1"/>
          <w:numId w:val="3"/>
        </w:numPr>
        <w:ind w:left="567" w:hanging="56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Bértámogatás</w:t>
      </w:r>
    </w:p>
    <w:p>
      <w:pPr>
        <w:pStyle w:val="Listaszerbekezds"/>
        <w:jc w:val="both"/>
        <w:rPr>
          <w:b/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programban a diákok csak az Mt. hatálya alá tartozó munkaviszonyban foglalkoztathatóak, ennek megfelelően bértámogatás kizárólag a munkaviszony keretében történő foglalkoztatáshoz nyújtható. </w:t>
      </w:r>
    </w:p>
    <w:p>
      <w:pPr>
        <w:jc w:val="both"/>
        <w:rPr>
          <w:sz w:val="22"/>
          <w:szCs w:val="22"/>
        </w:rPr>
      </w:pPr>
    </w:p>
    <w:p>
      <w:pPr>
        <w:pStyle w:val="Cmsor2"/>
        <w:numPr>
          <w:ilvl w:val="0"/>
          <w:numId w:val="3"/>
        </w:numPr>
        <w:spacing w:after="120"/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struktúrája, a támogatás mértéke</w:t>
      </w:r>
    </w:p>
    <w:p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program két pillérre épül:</w:t>
      </w:r>
    </w:p>
    <w:p>
      <w:pPr>
        <w:numPr>
          <w:ilvl w:val="0"/>
          <w:numId w:val="6"/>
        </w:numPr>
        <w:ind w:left="782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Önkormányzati diákmunka:</w:t>
      </w:r>
      <w:r>
        <w:rPr>
          <w:sz w:val="22"/>
          <w:szCs w:val="22"/>
        </w:rPr>
        <w:t xml:space="preserve"> A programban a foglalkoztatást biztosító és így támogatható munkáltató a területi, települési önkormányzat és önkormányzati alaptevékenységet végző intézménye, továbbá egyházi jogi személy lehet.</w:t>
      </w:r>
    </w:p>
    <w:p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Diákmunka a mezőgazdaság, a turizmus és a vendéglátás területén</w:t>
      </w:r>
      <w:r>
        <w:rPr>
          <w:sz w:val="22"/>
          <w:szCs w:val="22"/>
        </w:rPr>
        <w:t>: A korábbi évek gyakorlatának megfelelően a mezőgazdaság, valamint a turizmus és vendéglátás területén is lehetőség nyílik a program keretében diákok idényjellegű foglalkoztatására.</w:t>
      </w:r>
    </w:p>
    <w:p>
      <w:pPr>
        <w:pStyle w:val="Listaszerbekezds"/>
        <w:ind w:left="1080"/>
        <w:jc w:val="both"/>
        <w:rPr>
          <w:sz w:val="22"/>
          <w:szCs w:val="22"/>
        </w:rPr>
      </w:pPr>
    </w:p>
    <w:p>
      <w:pPr>
        <w:pageBreakBefore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1. pillér: Önkormányzati diákmunka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program keretében a munkaadók számára a célcsoportba tartozó személyek munkaviszonyban történő foglalkoztatása esetén bértámogatásként </w:t>
      </w:r>
      <w:r>
        <w:rPr>
          <w:b/>
          <w:sz w:val="22"/>
          <w:szCs w:val="22"/>
        </w:rPr>
        <w:t>a munkabér összegének 100 %-a kerül</w:t>
      </w:r>
      <w:r>
        <w:rPr>
          <w:sz w:val="22"/>
          <w:szCs w:val="22"/>
        </w:rPr>
        <w:t xml:space="preserve"> megtérítésre.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program keretében </w:t>
      </w:r>
      <w:r>
        <w:rPr>
          <w:b/>
          <w:sz w:val="22"/>
          <w:szCs w:val="22"/>
        </w:rPr>
        <w:t>legfeljebb 2 hónap időtartamra, maximum napi 6 órás foglalkoztatás</w:t>
      </w:r>
      <w:r>
        <w:rPr>
          <w:sz w:val="22"/>
          <w:szCs w:val="22"/>
        </w:rPr>
        <w:t xml:space="preserve"> támogatható. A támogatás megállapítása során havi munkabérként a szakképzettséget igénylő munkakör esetében 222.300 Ft/fő/hó, szakképzettséget nem igénylő munkakör esetében pedig 174.000 Ft/fő/hó összeg vehető figyelembe. A napi 6 óránál rövidebb munkaidőben történő foglalkoztatás esetén a támogatási összeg arányosan csökken.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2. pillér: Diákmunka a mezőgazdaság, a turizmus és a vendéglátás területén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program keretében a munkaadók számára a célcsoportba tartozó személyek munkaviszonyban történő alkalmazása esetén </w:t>
      </w:r>
      <w:r>
        <w:rPr>
          <w:b/>
          <w:sz w:val="22"/>
          <w:szCs w:val="22"/>
        </w:rPr>
        <w:t>legfeljebb napi 8 órás foglalkoztatás támogatható.</w:t>
      </w:r>
      <w:r>
        <w:rPr>
          <w:sz w:val="22"/>
          <w:szCs w:val="22"/>
        </w:rPr>
        <w:t xml:space="preserve"> Bértámogatásként a munkabér összegének </w:t>
      </w:r>
      <w:r>
        <w:rPr>
          <w:b/>
          <w:sz w:val="22"/>
          <w:szCs w:val="22"/>
        </w:rPr>
        <w:t>75 %-a kerül megtérítésre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legfeljebb 2 hónap időtartamra</w:t>
      </w:r>
      <w:r>
        <w:rPr>
          <w:sz w:val="22"/>
          <w:szCs w:val="22"/>
        </w:rPr>
        <w:t>.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Jelen megoldással ugyanúgy napi 6 órás foglalkoztatást támogatunk 100%-ban, mint az önkormányzati diákmunka esetében. A mezőgazdasági, turisztikai és vendéglátási területen történő munkavégzés legfeljebb napi 8 órában került meghatározásra, ezzel ösztönző hatást kívánunk elérni, továbbá azt, hogy a vállalkozások is vállaljanak részt a költségek viselésében.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Ennek megfelelően a támogatás megállapítása során havi munkabérként a szakképzettséget igénylő munkakör esetében 222.300 Ft/fő/hó, szakképzettséget nem igénylő munkakör esetében pedig 174.000 Ft/fő/hó összeg vehető figyelembe – előbb említettek szerinti – arányos része. A napi 8 óránál rövidebb munkaidőben történő foglalkoztatás esetén a támogatási összeg arányosan csökken.</w:t>
      </w:r>
    </w:p>
    <w:p>
      <w:pPr>
        <w:jc w:val="both"/>
        <w:rPr>
          <w:sz w:val="22"/>
          <w:szCs w:val="22"/>
        </w:rPr>
      </w:pPr>
    </w:p>
    <w:p>
      <w:pPr>
        <w:pStyle w:val="Cmsor2"/>
        <w:numPr>
          <w:ilvl w:val="0"/>
          <w:numId w:val="3"/>
        </w:numPr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 xml:space="preserve"> A támogatás időtartama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program 2023. június 15. napjától 2023. augusztus 31. napjáig tart. 2023. június 15. napjától lehetőségük nyílik a diákoknak, hogy regisztráltassák magukat, míg a tényleges foglalkoztatásra 2023. július 1. napjától kerülhet sor. </w:t>
      </w:r>
    </w:p>
    <w:p>
      <w:pPr>
        <w:jc w:val="both"/>
        <w:rPr>
          <w:sz w:val="22"/>
          <w:szCs w:val="22"/>
        </w:rPr>
      </w:pPr>
      <w:bookmarkStart w:id="1" w:name="_GoBack"/>
      <w:bookmarkEnd w:id="1"/>
    </w:p>
    <w:p>
      <w:pPr>
        <w:pStyle w:val="Cmsor2"/>
        <w:numPr>
          <w:ilvl w:val="0"/>
          <w:numId w:val="3"/>
        </w:numPr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megvalósítója</w:t>
      </w:r>
    </w:p>
    <w:p>
      <w:pPr>
        <w:pStyle w:val="Cmsor2"/>
        <w:ind w:left="357" w:firstLine="0"/>
        <w:rPr>
          <w:rFonts w:eastAsia="Calibri" w:cs="Times New Roman"/>
          <w:sz w:val="22"/>
          <w:lang w:eastAsia="hu-HU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A programot a Gazdaságfejlesztési Minisztérium koordinálása mellett az állami foglalkoztatási szerv hatáskörében eljáró fővárosi és vármegyei kormányhivatalok és az állami foglalkoztatási szerv hatáskörében eljáró járási (fővárosi kerületi) hivatalok valósítják meg.</w:t>
      </w:r>
    </w:p>
    <w:p>
      <w:pPr>
        <w:jc w:val="both"/>
        <w:rPr>
          <w:sz w:val="22"/>
          <w:szCs w:val="22"/>
        </w:rPr>
      </w:pPr>
    </w:p>
    <w:p>
      <w:pPr>
        <w:pStyle w:val="Cmsor2"/>
        <w:numPr>
          <w:ilvl w:val="0"/>
          <w:numId w:val="3"/>
        </w:numPr>
        <w:ind w:left="357" w:hanging="357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>A program forrása, költsége</w:t>
      </w:r>
    </w:p>
    <w:p>
      <w:pPr>
        <w:pStyle w:val="Cmsor2"/>
        <w:ind w:left="357" w:firstLine="0"/>
        <w:rPr>
          <w:rFonts w:eastAsia="Calibri" w:cs="Times New Roman"/>
          <w:sz w:val="22"/>
          <w:lang w:eastAsia="hu-HU"/>
        </w:rPr>
      </w:pPr>
    </w:p>
    <w:p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program keretében nyújtott támogatások forrását a Gazdaságfejlesztési Minisztérium biztosítja a Nemzeti Foglalkoztatási Alap foglalkoztatási alaprész 2023. évi központi kerete terhére. </w:t>
      </w:r>
      <w:r>
        <w:rPr>
          <w:b/>
          <w:sz w:val="22"/>
          <w:szCs w:val="22"/>
        </w:rPr>
        <w:t>A program összköltsége 3,5 milliárd Ft.</w:t>
      </w:r>
    </w:p>
    <w:p>
      <w:pPr>
        <w:jc w:val="both"/>
        <w:rPr>
          <w:sz w:val="22"/>
          <w:szCs w:val="22"/>
        </w:rPr>
      </w:pPr>
    </w:p>
    <w:p>
      <w:pPr>
        <w:pStyle w:val="Cmsor2"/>
        <w:numPr>
          <w:ilvl w:val="0"/>
          <w:numId w:val="3"/>
        </w:numPr>
        <w:ind w:left="357" w:hanging="357"/>
        <w:jc w:val="both"/>
        <w:rPr>
          <w:rFonts w:eastAsia="Calibri" w:cs="Times New Roman"/>
          <w:sz w:val="22"/>
          <w:lang w:eastAsia="hu-HU"/>
        </w:rPr>
      </w:pPr>
      <w:r>
        <w:rPr>
          <w:rFonts w:eastAsia="Calibri" w:cs="Times New Roman"/>
          <w:sz w:val="22"/>
          <w:lang w:eastAsia="hu-HU"/>
        </w:rPr>
        <w:t xml:space="preserve"> A programtól várt eredmények</w:t>
      </w:r>
    </w:p>
    <w:p>
      <w:pPr>
        <w:pStyle w:val="asous-titre201p10"/>
        <w:spacing w:before="0" w:beforeAutospacing="0" w:after="0" w:afterAutospacing="0"/>
        <w:jc w:val="both"/>
        <w:rPr>
          <w:b/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A program elsősorban preventív jelleggel kerül indításra, kifejezetten csak a nyári időszakra. Várt eredmény: a fiatalok korai munkatapasztalathoz juttatása, munkajövedelem-szerzés biztosítása, a munkasiker révén a jövőbeli inaktivitás megelőzése, továbbá munkaerő biztosítása a munkaerőhiányos területekre.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 programmal kapcsolatos bővebb tájékoztatás a területileg illetékes állami foglalkoztatási szervként eljáró járási hivatalnál érhető el.</w:t>
      </w:r>
    </w:p>
    <w:sectPr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Lbjegyzetszveg"/>
      </w:pPr>
      <w:r>
        <w:rPr>
          <w:rStyle w:val="Lbjegyzet-hivatkozs"/>
        </w:rPr>
        <w:footnoteRef/>
      </w:r>
      <w:r>
        <w:t xml:space="preserve"> 16 éves az a diák, aki a tényleges foglalkoztatásakor már betöltötte a 16. életévét.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81E"/>
    <w:multiLevelType w:val="hybridMultilevel"/>
    <w:tmpl w:val="75D62FD2"/>
    <w:lvl w:ilvl="0" w:tplc="37181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6268"/>
    <w:multiLevelType w:val="multilevel"/>
    <w:tmpl w:val="ABE277B6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11A3A60"/>
    <w:multiLevelType w:val="hybridMultilevel"/>
    <w:tmpl w:val="F8ECF812"/>
    <w:lvl w:ilvl="0" w:tplc="1F4AC278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D2F5E"/>
    <w:multiLevelType w:val="multilevel"/>
    <w:tmpl w:val="223E1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">
    <w:nsid w:val="606712AB"/>
    <w:multiLevelType w:val="multilevel"/>
    <w:tmpl w:val="D9E479A0"/>
    <w:lvl w:ilvl="0">
      <w:start w:val="1"/>
      <w:numFmt w:val="upperRoman"/>
      <w:lvlText w:val="%1."/>
      <w:lvlJc w:val="left"/>
      <w:pPr>
        <w:ind w:left="262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7F220FAC"/>
    <w:multiLevelType w:val="hybridMultilevel"/>
    <w:tmpl w:val="ED4C3F1E"/>
    <w:lvl w:ilvl="0" w:tplc="E08C1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16F7-CB26-41DC-87F9-9830E407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link w:val="Lbjegyzetszveg"/>
    <w:qFormat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Pr>
      <w:vertAlign w:val="superscript"/>
    </w:rPr>
  </w:style>
  <w:style w:type="paragraph" w:styleId="Listaszerbekezds">
    <w:name w:val="List Paragraph"/>
    <w:basedOn w:val="Norml"/>
    <w:uiPriority w:val="34"/>
    <w:qFormat/>
    <w:pPr>
      <w:ind w:left="708"/>
    </w:pPr>
  </w:style>
  <w:style w:type="paragraph" w:customStyle="1" w:styleId="asous-titre201p10">
    <w:name w:val="a_sous-titre_20_1_p10"/>
    <w:basedOn w:val="Norml"/>
    <w:pPr>
      <w:spacing w:before="100" w:beforeAutospacing="1" w:after="100" w:afterAutospacing="1"/>
    </w:pPr>
  </w:style>
  <w:style w:type="paragraph" w:customStyle="1" w:styleId="Cmsor2">
    <w:name w:val="Címsor2"/>
    <w:basedOn w:val="Cmsor1"/>
    <w:qFormat/>
    <w:pPr>
      <w:keepNext w:val="0"/>
      <w:keepLines w:val="0"/>
      <w:spacing w:before="0"/>
      <w:ind w:left="576" w:hanging="576"/>
    </w:pPr>
    <w:rPr>
      <w:rFonts w:ascii="Times New Roman" w:hAnsi="Times New Roman" w:cs="Calibri"/>
      <w:bCs w:val="0"/>
      <w:color w:val="auto"/>
      <w:szCs w:val="22"/>
      <w:lang w:eastAsia="en-US" w:bidi="en-US"/>
    </w:rPr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customStyle="1" w:styleId="Szvegtrzs2Flkvr">
    <w:name w:val="Szövegtörzs (2) + Félkövé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u-HU" w:eastAsia="hu-HU" w:bidi="hu-HU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cp:lastModifiedBy>TMKH</cp:lastModifiedBy>
  <cp:revision>4</cp:revision>
  <cp:lastPrinted>2023-06-09T06:21:00Z</cp:lastPrinted>
  <dcterms:created xsi:type="dcterms:W3CDTF">2023-06-09T05:23:00Z</dcterms:created>
  <dcterms:modified xsi:type="dcterms:W3CDTF">2023-06-09T06:29:00Z</dcterms:modified>
</cp:coreProperties>
</file>